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10E22D" w14:textId="7C65913A" w:rsidR="00DB6C75" w:rsidRPr="00472B84" w:rsidRDefault="00DB6C75" w:rsidP="00336136">
      <w:pPr>
        <w:spacing w:line="240" w:lineRule="auto"/>
        <w:jc w:val="center"/>
        <w:rPr>
          <w:rFonts w:ascii="Avenir Black" w:hAnsi="Avenir Black"/>
          <w:b/>
          <w:bCs/>
          <w:color w:val="174489"/>
          <w:sz w:val="58"/>
          <w:szCs w:val="58"/>
        </w:rPr>
      </w:pPr>
      <w:bookmarkStart w:id="0" w:name="_GoBack"/>
      <w:bookmarkEnd w:id="0"/>
    </w:p>
    <w:p w14:paraId="15C1A1C8" w14:textId="77777777" w:rsidR="00DB6C75" w:rsidRPr="00472B84" w:rsidRDefault="00DB6C75" w:rsidP="00336136">
      <w:pPr>
        <w:spacing w:line="240" w:lineRule="auto"/>
        <w:jc w:val="center"/>
        <w:rPr>
          <w:rFonts w:ascii="Avenir Black" w:hAnsi="Avenir Black"/>
          <w:b/>
          <w:bCs/>
          <w:color w:val="174489"/>
          <w:sz w:val="58"/>
          <w:szCs w:val="58"/>
        </w:rPr>
      </w:pPr>
    </w:p>
    <w:sdt>
      <w:sdtPr>
        <w:alias w:val="Título"/>
        <w:tag w:val=""/>
        <w:id w:val="1655025346"/>
        <w:placeholder>
          <w:docPart w:val="BAE1614E1BBB49DC9EF05FF4180C7E73"/>
        </w:placeholder>
        <w:dataBinding w:prefixMappings="xmlns:ns0='http://purl.org/dc/elements/1.1/' xmlns:ns1='http://schemas.openxmlformats.org/package/2006/metadata/core-properties' " w:xpath="/ns1:coreProperties[1]/ns0:title[1]" w:storeItemID="{6C3C8BC8-F283-45AE-878A-BAB7291924A1}"/>
        <w:text/>
      </w:sdtPr>
      <w:sdtEndPr/>
      <w:sdtContent>
        <w:p w14:paraId="4068296F" w14:textId="480F8B3D" w:rsidR="00DB6C75" w:rsidRPr="00472B84" w:rsidRDefault="005773A1" w:rsidP="00336136">
          <w:pPr>
            <w:pStyle w:val="Ttulo"/>
            <w:spacing w:line="240" w:lineRule="auto"/>
          </w:pPr>
          <w:r w:rsidRPr="00472B84">
            <w:t>Renewable Energy Sector in Central America</w:t>
          </w:r>
        </w:p>
      </w:sdtContent>
    </w:sdt>
    <w:p w14:paraId="770A4E81" w14:textId="77777777" w:rsidR="00DB6C75" w:rsidRPr="00472B84" w:rsidRDefault="00DB6C75" w:rsidP="00336136">
      <w:pPr>
        <w:spacing w:line="240" w:lineRule="auto"/>
        <w:jc w:val="center"/>
        <w:rPr>
          <w:rFonts w:ascii="Avenir" w:hAnsi="Avenir"/>
          <w:color w:val="004195"/>
          <w:sz w:val="48"/>
          <w:szCs w:val="48"/>
        </w:rPr>
      </w:pPr>
    </w:p>
    <w:p w14:paraId="61729A21" w14:textId="739424A3" w:rsidR="00DB6C75" w:rsidRPr="00472B84" w:rsidRDefault="007D0152" w:rsidP="00336136">
      <w:pPr>
        <w:spacing w:line="240" w:lineRule="auto"/>
        <w:jc w:val="center"/>
        <w:rPr>
          <w:rFonts w:ascii="Avenir" w:hAnsi="Avenir"/>
          <w:color w:val="004195"/>
          <w:sz w:val="48"/>
          <w:szCs w:val="48"/>
        </w:rPr>
      </w:pPr>
      <w:r>
        <w:rPr>
          <w:rFonts w:ascii="Avenir" w:hAnsi="Avenir"/>
          <w:color w:val="004195"/>
          <w:sz w:val="48"/>
          <w:szCs w:val="48"/>
        </w:rPr>
        <w:t>December</w:t>
      </w:r>
      <w:r w:rsidR="008B29EC" w:rsidRPr="00472B84">
        <w:rPr>
          <w:rFonts w:ascii="Avenir" w:hAnsi="Avenir"/>
          <w:color w:val="004195"/>
          <w:sz w:val="48"/>
          <w:szCs w:val="48"/>
        </w:rPr>
        <w:t xml:space="preserve"> </w:t>
      </w:r>
      <w:r w:rsidR="005773A1" w:rsidRPr="00472B84">
        <w:rPr>
          <w:rFonts w:ascii="Avenir" w:hAnsi="Avenir"/>
          <w:color w:val="004195"/>
          <w:sz w:val="48"/>
          <w:szCs w:val="48"/>
        </w:rPr>
        <w:t>2021</w:t>
      </w:r>
    </w:p>
    <w:p w14:paraId="048FDA27" w14:textId="77777777" w:rsidR="00DB6C75" w:rsidRPr="00472B84" w:rsidRDefault="00DB6C75" w:rsidP="00336136">
      <w:pPr>
        <w:spacing w:line="240" w:lineRule="auto"/>
        <w:jc w:val="center"/>
        <w:rPr>
          <w:rFonts w:ascii="Avenir" w:hAnsi="Avenir"/>
          <w:color w:val="174489"/>
          <w:sz w:val="58"/>
          <w:szCs w:val="58"/>
        </w:rPr>
        <w:sectPr w:rsidR="00DB6C75" w:rsidRPr="00472B84" w:rsidSect="00ED55C0">
          <w:headerReference w:type="even" r:id="rId11"/>
          <w:headerReference w:type="default" r:id="rId12"/>
          <w:footerReference w:type="even" r:id="rId13"/>
          <w:footerReference w:type="default" r:id="rId14"/>
          <w:headerReference w:type="first" r:id="rId15"/>
          <w:footerReference w:type="first" r:id="rId16"/>
          <w:pgSz w:w="11906" w:h="16838" w:code="9"/>
          <w:pgMar w:top="1418" w:right="1440" w:bottom="1418" w:left="1440" w:header="706" w:footer="706" w:gutter="0"/>
          <w:cols w:space="708"/>
          <w:docGrid w:linePitch="360"/>
        </w:sectPr>
      </w:pPr>
      <w:r w:rsidRPr="00472B84">
        <w:rPr>
          <w:rFonts w:ascii="Avenir Black" w:hAnsi="Avenir Black"/>
          <w:b/>
          <w:bCs/>
          <w:noProof/>
          <w:color w:val="174489"/>
          <w:sz w:val="58"/>
          <w:szCs w:val="58"/>
        </w:rPr>
        <w:drawing>
          <wp:anchor distT="0" distB="0" distL="114300" distR="114300" simplePos="0" relativeHeight="251658240" behindDoc="1" locked="0" layoutInCell="1" allowOverlap="0" wp14:anchorId="535D723F" wp14:editId="42F4CD3A">
            <wp:simplePos x="0" y="0"/>
            <wp:positionH relativeFrom="page">
              <wp:posOffset>0</wp:posOffset>
            </wp:positionH>
            <wp:positionV relativeFrom="topMargin">
              <wp:posOffset>4703832</wp:posOffset>
            </wp:positionV>
            <wp:extent cx="7560677" cy="5044688"/>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7">
                      <a:extLst>
                        <a:ext uri="{28A0092B-C50C-407E-A947-70E740481C1C}">
                          <a14:useLocalDpi xmlns:a14="http://schemas.microsoft.com/office/drawing/2010/main" val="0"/>
                        </a:ext>
                      </a:extLst>
                    </a:blip>
                    <a:stretch>
                      <a:fillRect/>
                    </a:stretch>
                  </pic:blipFill>
                  <pic:spPr>
                    <a:xfrm>
                      <a:off x="0" y="0"/>
                      <a:ext cx="7560677" cy="5044688"/>
                    </a:xfrm>
                    <a:prstGeom prst="rect">
                      <a:avLst/>
                    </a:prstGeom>
                  </pic:spPr>
                </pic:pic>
              </a:graphicData>
            </a:graphic>
            <wp14:sizeRelH relativeFrom="margin">
              <wp14:pctWidth>0</wp14:pctWidth>
            </wp14:sizeRelH>
            <wp14:sizeRelV relativeFrom="margin">
              <wp14:pctHeight>0</wp14:pctHeight>
            </wp14:sizeRelV>
          </wp:anchor>
        </w:drawing>
      </w:r>
    </w:p>
    <w:p w14:paraId="1DB0CECE" w14:textId="77777777" w:rsidR="007A1FA0" w:rsidRPr="00472B84" w:rsidRDefault="007A1FA0" w:rsidP="00336136">
      <w:pPr>
        <w:spacing w:line="240" w:lineRule="auto"/>
        <w:rPr>
          <w:i/>
          <w:iCs/>
        </w:rPr>
      </w:pPr>
      <w:r w:rsidRPr="00472B84">
        <w:rPr>
          <w:i/>
          <w:iCs/>
        </w:rPr>
        <w:br w:type="page"/>
      </w:r>
    </w:p>
    <w:p w14:paraId="22FA7700" w14:textId="77777777" w:rsidR="005861E9" w:rsidRPr="00472B84" w:rsidRDefault="005861E9" w:rsidP="00336136">
      <w:pPr>
        <w:spacing w:line="240" w:lineRule="auto"/>
        <w:rPr>
          <w:i/>
          <w:iCs/>
        </w:rPr>
      </w:pPr>
    </w:p>
    <w:p w14:paraId="7DB3FD62" w14:textId="77777777" w:rsidR="005861E9" w:rsidRPr="00472B84" w:rsidRDefault="005861E9" w:rsidP="00336136">
      <w:pPr>
        <w:spacing w:line="240" w:lineRule="auto"/>
        <w:rPr>
          <w:i/>
          <w:iCs/>
        </w:rPr>
      </w:pPr>
    </w:p>
    <w:p w14:paraId="7D0C9641" w14:textId="77777777" w:rsidR="005861E9" w:rsidRPr="00472B84" w:rsidRDefault="005861E9" w:rsidP="00336136">
      <w:pPr>
        <w:spacing w:line="240" w:lineRule="auto"/>
        <w:rPr>
          <w:i/>
          <w:iCs/>
        </w:rPr>
      </w:pPr>
    </w:p>
    <w:p w14:paraId="66ED2CFA" w14:textId="77777777" w:rsidR="005861E9" w:rsidRPr="00472B84" w:rsidRDefault="005861E9" w:rsidP="00336136">
      <w:pPr>
        <w:spacing w:line="240" w:lineRule="auto"/>
        <w:rPr>
          <w:i/>
          <w:iCs/>
        </w:rPr>
      </w:pPr>
    </w:p>
    <w:p w14:paraId="33E36C48" w14:textId="77777777" w:rsidR="005861E9" w:rsidRPr="00472B84" w:rsidRDefault="005861E9" w:rsidP="00336136">
      <w:pPr>
        <w:spacing w:line="240" w:lineRule="auto"/>
        <w:rPr>
          <w:i/>
          <w:iCs/>
        </w:rPr>
      </w:pPr>
    </w:p>
    <w:p w14:paraId="36BDCA7E" w14:textId="77777777" w:rsidR="005861E9" w:rsidRPr="00472B84" w:rsidRDefault="005861E9" w:rsidP="00336136">
      <w:pPr>
        <w:spacing w:line="240" w:lineRule="auto"/>
        <w:rPr>
          <w:i/>
          <w:iCs/>
        </w:rPr>
      </w:pPr>
    </w:p>
    <w:p w14:paraId="2A0E106D" w14:textId="77777777" w:rsidR="005861E9" w:rsidRPr="00472B84" w:rsidRDefault="005861E9" w:rsidP="00336136">
      <w:pPr>
        <w:spacing w:line="240" w:lineRule="auto"/>
        <w:rPr>
          <w:i/>
          <w:iCs/>
        </w:rPr>
      </w:pPr>
    </w:p>
    <w:p w14:paraId="7898F877" w14:textId="77777777" w:rsidR="005861E9" w:rsidRPr="00472B84" w:rsidRDefault="005861E9" w:rsidP="00336136">
      <w:pPr>
        <w:spacing w:line="240" w:lineRule="auto"/>
        <w:rPr>
          <w:i/>
          <w:iCs/>
        </w:rPr>
      </w:pPr>
    </w:p>
    <w:p w14:paraId="1F80E964" w14:textId="77777777" w:rsidR="005861E9" w:rsidRPr="00472B84" w:rsidRDefault="005861E9" w:rsidP="00336136">
      <w:pPr>
        <w:spacing w:line="240" w:lineRule="auto"/>
        <w:rPr>
          <w:i/>
          <w:iCs/>
        </w:rPr>
      </w:pPr>
    </w:p>
    <w:p w14:paraId="2F86540E" w14:textId="77777777" w:rsidR="005861E9" w:rsidRPr="00472B84" w:rsidRDefault="005861E9" w:rsidP="00336136">
      <w:pPr>
        <w:spacing w:line="240" w:lineRule="auto"/>
        <w:rPr>
          <w:i/>
          <w:iCs/>
        </w:rPr>
      </w:pPr>
    </w:p>
    <w:p w14:paraId="4F5375CD" w14:textId="77777777" w:rsidR="005861E9" w:rsidRPr="00472B84" w:rsidRDefault="005861E9" w:rsidP="00336136">
      <w:pPr>
        <w:spacing w:line="240" w:lineRule="auto"/>
        <w:rPr>
          <w:i/>
          <w:iCs/>
        </w:rPr>
      </w:pPr>
    </w:p>
    <w:p w14:paraId="4FDB15B5" w14:textId="502143BC" w:rsidR="00A969AC" w:rsidRPr="00472B84" w:rsidRDefault="00A969AC" w:rsidP="00336136">
      <w:pPr>
        <w:spacing w:line="240" w:lineRule="auto"/>
        <w:rPr>
          <w:sz w:val="24"/>
          <w:szCs w:val="24"/>
        </w:rPr>
      </w:pPr>
      <w:r w:rsidRPr="00472B84">
        <w:rPr>
          <w:szCs w:val="20"/>
        </w:rPr>
        <w:t>This publication was produced with the financial support of the European Union. Its contents are the sole responsibility of the AESA</w:t>
      </w:r>
      <w:r w:rsidR="003C32A5">
        <w:rPr>
          <w:szCs w:val="20"/>
        </w:rPr>
        <w:t xml:space="preserve">, </w:t>
      </w:r>
      <w:r w:rsidRPr="00472B84">
        <w:rPr>
          <w:szCs w:val="20"/>
        </w:rPr>
        <w:t xml:space="preserve">EY </w:t>
      </w:r>
      <w:r w:rsidR="003C32A5">
        <w:rPr>
          <w:szCs w:val="20"/>
        </w:rPr>
        <w:t>and GreenLAC</w:t>
      </w:r>
      <w:r w:rsidRPr="00472B84">
        <w:rPr>
          <w:szCs w:val="20"/>
        </w:rPr>
        <w:t>, and do not necessarily reflect the views of the European Union</w:t>
      </w:r>
      <w:r w:rsidR="009E68A4">
        <w:rPr>
          <w:szCs w:val="20"/>
        </w:rPr>
        <w:t xml:space="preserve"> or the stakeholders that were interviewed</w:t>
      </w:r>
      <w:r w:rsidRPr="00472B84">
        <w:rPr>
          <w:szCs w:val="20"/>
        </w:rPr>
        <w:t>.</w:t>
      </w:r>
      <w:r w:rsidRPr="00472B84">
        <w:rPr>
          <w:sz w:val="24"/>
          <w:szCs w:val="24"/>
        </w:rPr>
        <w:t xml:space="preserve"> </w:t>
      </w:r>
    </w:p>
    <w:p w14:paraId="22DCB199" w14:textId="77777777" w:rsidR="00A969AC" w:rsidRPr="00472B84" w:rsidRDefault="00A969AC" w:rsidP="00336136">
      <w:pPr>
        <w:spacing w:line="240" w:lineRule="auto"/>
        <w:rPr>
          <w:sz w:val="28"/>
          <w:szCs w:val="28"/>
        </w:rPr>
      </w:pPr>
    </w:p>
    <w:p w14:paraId="07960331" w14:textId="19C3A4C0" w:rsidR="00A969AC" w:rsidRPr="00472B84" w:rsidRDefault="00A969AC" w:rsidP="00336136">
      <w:pPr>
        <w:spacing w:line="240" w:lineRule="auto"/>
        <w:rPr>
          <w:sz w:val="28"/>
          <w:szCs w:val="28"/>
        </w:rPr>
      </w:pPr>
    </w:p>
    <w:p w14:paraId="660D142C" w14:textId="506A3346" w:rsidR="00E7361F" w:rsidRPr="00472B84" w:rsidRDefault="00A969AC" w:rsidP="00336136">
      <w:pPr>
        <w:spacing w:line="240" w:lineRule="auto"/>
        <w:jc w:val="center"/>
        <w:rPr>
          <w:sz w:val="28"/>
          <w:szCs w:val="28"/>
        </w:rPr>
      </w:pPr>
      <w:r w:rsidRPr="00472B84">
        <w:rPr>
          <w:noProof/>
        </w:rPr>
        <w:drawing>
          <wp:inline distT="0" distB="0" distL="0" distR="0" wp14:anchorId="44720AF4" wp14:editId="153DD3DB">
            <wp:extent cx="1650806" cy="528320"/>
            <wp:effectExtent l="0" t="0" r="6985"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54564" cy="529523"/>
                    </a:xfrm>
                    <a:prstGeom prst="rect">
                      <a:avLst/>
                    </a:prstGeom>
                    <a:noFill/>
                  </pic:spPr>
                </pic:pic>
              </a:graphicData>
            </a:graphic>
          </wp:inline>
        </w:drawing>
      </w:r>
      <w:r w:rsidR="00D35294" w:rsidRPr="00D35294">
        <w:rPr>
          <w:noProof/>
        </w:rPr>
        <w:t xml:space="preserve"> </w:t>
      </w:r>
    </w:p>
    <w:p w14:paraId="0B5B2B2D" w14:textId="77777777" w:rsidR="00E7361F" w:rsidRPr="00472B84" w:rsidRDefault="00E7361F" w:rsidP="00336136">
      <w:pPr>
        <w:spacing w:line="240" w:lineRule="auto"/>
        <w:jc w:val="center"/>
        <w:rPr>
          <w:sz w:val="28"/>
          <w:szCs w:val="28"/>
        </w:rPr>
      </w:pPr>
    </w:p>
    <w:p w14:paraId="240E0C8A" w14:textId="77777777" w:rsidR="00E7361F" w:rsidRPr="00472B84" w:rsidRDefault="00E7361F" w:rsidP="00336136">
      <w:pPr>
        <w:spacing w:line="240" w:lineRule="auto"/>
        <w:jc w:val="center"/>
        <w:rPr>
          <w:sz w:val="28"/>
          <w:szCs w:val="28"/>
        </w:rPr>
      </w:pPr>
    </w:p>
    <w:p w14:paraId="0FBB56BF" w14:textId="77777777" w:rsidR="00E7361F" w:rsidRPr="00472B84" w:rsidRDefault="00E7361F" w:rsidP="00336136">
      <w:pPr>
        <w:spacing w:line="240" w:lineRule="auto"/>
        <w:jc w:val="center"/>
        <w:rPr>
          <w:sz w:val="28"/>
          <w:szCs w:val="28"/>
        </w:rPr>
      </w:pPr>
    </w:p>
    <w:p w14:paraId="210522A7" w14:textId="4A03D2D0" w:rsidR="00A969AC" w:rsidRPr="00472B84" w:rsidRDefault="00A969AC" w:rsidP="00336136">
      <w:pPr>
        <w:spacing w:line="240" w:lineRule="auto"/>
        <w:jc w:val="center"/>
        <w:rPr>
          <w:sz w:val="28"/>
          <w:szCs w:val="28"/>
        </w:rPr>
      </w:pPr>
      <w:r w:rsidRPr="00472B84">
        <w:rPr>
          <w:sz w:val="28"/>
          <w:szCs w:val="28"/>
        </w:rPr>
        <w:br w:type="page"/>
      </w:r>
    </w:p>
    <w:sdt>
      <w:sdtPr>
        <w:rPr>
          <w:rFonts w:asciiTheme="minorHAnsi" w:eastAsiaTheme="minorHAnsi" w:hAnsiTheme="minorHAnsi" w:cstheme="minorBidi"/>
          <w:b w:val="0"/>
          <w:color w:val="auto"/>
          <w:sz w:val="20"/>
          <w:szCs w:val="20"/>
        </w:rPr>
        <w:id w:val="2025362803"/>
        <w:docPartObj>
          <w:docPartGallery w:val="Table of Contents"/>
          <w:docPartUnique/>
        </w:docPartObj>
      </w:sdtPr>
      <w:sdtEndPr>
        <w:rPr>
          <w:rFonts w:ascii="Avenir Next LT Pro" w:hAnsi="Avenir Next LT Pro"/>
          <w:bCs/>
          <w:noProof/>
        </w:rPr>
      </w:sdtEndPr>
      <w:sdtContent>
        <w:p w14:paraId="5D0F2ED1" w14:textId="77777777" w:rsidR="00A969AC" w:rsidRPr="00472B84" w:rsidRDefault="00A969AC" w:rsidP="00336136">
          <w:pPr>
            <w:pStyle w:val="TtuloTDC"/>
            <w:spacing w:before="0" w:after="160" w:line="240" w:lineRule="auto"/>
          </w:pPr>
          <w:r w:rsidRPr="00472B84">
            <w:t>Table of Contents</w:t>
          </w:r>
        </w:p>
        <w:p w14:paraId="7FC84EB3" w14:textId="122E1743" w:rsidR="007D0152" w:rsidRDefault="00A969AC">
          <w:pPr>
            <w:pStyle w:val="TDC1"/>
            <w:rPr>
              <w:rFonts w:asciiTheme="minorHAnsi" w:eastAsiaTheme="minorEastAsia" w:hAnsiTheme="minorHAnsi"/>
              <w:noProof/>
              <w:sz w:val="22"/>
              <w:lang w:val="es-CR" w:eastAsia="es-CR"/>
            </w:rPr>
          </w:pPr>
          <w:r w:rsidRPr="00472B84">
            <w:rPr>
              <w:szCs w:val="20"/>
            </w:rPr>
            <w:fldChar w:fldCharType="begin"/>
          </w:r>
          <w:r w:rsidRPr="00472B84">
            <w:rPr>
              <w:szCs w:val="20"/>
            </w:rPr>
            <w:instrText xml:space="preserve"> TOC \o "1-3" \h \z \u </w:instrText>
          </w:r>
          <w:r w:rsidRPr="00472B84">
            <w:rPr>
              <w:szCs w:val="20"/>
            </w:rPr>
            <w:fldChar w:fldCharType="separate"/>
          </w:r>
          <w:hyperlink w:anchor="_Toc90453956" w:history="1">
            <w:r w:rsidR="007D0152" w:rsidRPr="00A0121D">
              <w:rPr>
                <w:rStyle w:val="Hipervnculo"/>
                <w:noProof/>
              </w:rPr>
              <w:t>1.</w:t>
            </w:r>
            <w:r w:rsidR="007D0152">
              <w:rPr>
                <w:rFonts w:asciiTheme="minorHAnsi" w:eastAsiaTheme="minorEastAsia" w:hAnsiTheme="minorHAnsi"/>
                <w:noProof/>
                <w:sz w:val="22"/>
                <w:lang w:val="es-CR" w:eastAsia="es-CR"/>
              </w:rPr>
              <w:tab/>
            </w:r>
            <w:r w:rsidR="007D0152" w:rsidRPr="00A0121D">
              <w:rPr>
                <w:rStyle w:val="Hipervnculo"/>
                <w:noProof/>
              </w:rPr>
              <w:t>Introduction</w:t>
            </w:r>
            <w:r w:rsidR="007D0152">
              <w:rPr>
                <w:noProof/>
                <w:webHidden/>
              </w:rPr>
              <w:tab/>
            </w:r>
            <w:r w:rsidR="007D0152">
              <w:rPr>
                <w:noProof/>
                <w:webHidden/>
              </w:rPr>
              <w:fldChar w:fldCharType="begin"/>
            </w:r>
            <w:r w:rsidR="007D0152">
              <w:rPr>
                <w:noProof/>
                <w:webHidden/>
              </w:rPr>
              <w:instrText xml:space="preserve"> PAGEREF _Toc90453956 \h </w:instrText>
            </w:r>
            <w:r w:rsidR="007D0152">
              <w:rPr>
                <w:noProof/>
                <w:webHidden/>
              </w:rPr>
            </w:r>
            <w:r w:rsidR="007D0152">
              <w:rPr>
                <w:noProof/>
                <w:webHidden/>
              </w:rPr>
              <w:fldChar w:fldCharType="separate"/>
            </w:r>
            <w:r w:rsidR="007D0152">
              <w:rPr>
                <w:noProof/>
                <w:webHidden/>
              </w:rPr>
              <w:t>9</w:t>
            </w:r>
            <w:r w:rsidR="007D0152">
              <w:rPr>
                <w:noProof/>
                <w:webHidden/>
              </w:rPr>
              <w:fldChar w:fldCharType="end"/>
            </w:r>
          </w:hyperlink>
        </w:p>
        <w:p w14:paraId="42801FB7" w14:textId="51E046DC" w:rsidR="007D0152" w:rsidRDefault="00C25E2C">
          <w:pPr>
            <w:pStyle w:val="TDC2"/>
            <w:rPr>
              <w:rFonts w:asciiTheme="minorHAnsi" w:eastAsiaTheme="minorEastAsia" w:hAnsiTheme="minorHAnsi"/>
              <w:noProof/>
              <w:sz w:val="22"/>
              <w:lang w:val="es-CR" w:eastAsia="es-CR"/>
            </w:rPr>
          </w:pPr>
          <w:hyperlink w:anchor="_Toc90453957" w:history="1">
            <w:r w:rsidR="007D0152" w:rsidRPr="00A0121D">
              <w:rPr>
                <w:rStyle w:val="Hipervnculo"/>
                <w:noProof/>
              </w:rPr>
              <w:t>1.1.</w:t>
            </w:r>
            <w:r w:rsidR="007D0152">
              <w:rPr>
                <w:rFonts w:asciiTheme="minorHAnsi" w:eastAsiaTheme="minorEastAsia" w:hAnsiTheme="minorHAnsi"/>
                <w:noProof/>
                <w:sz w:val="22"/>
                <w:lang w:val="es-CR" w:eastAsia="es-CR"/>
              </w:rPr>
              <w:tab/>
            </w:r>
            <w:r w:rsidR="007D0152" w:rsidRPr="00A0121D">
              <w:rPr>
                <w:rStyle w:val="Hipervnculo"/>
                <w:noProof/>
              </w:rPr>
              <w:t>Background</w:t>
            </w:r>
            <w:r w:rsidR="007D0152">
              <w:rPr>
                <w:noProof/>
                <w:webHidden/>
              </w:rPr>
              <w:tab/>
            </w:r>
            <w:r w:rsidR="007D0152">
              <w:rPr>
                <w:noProof/>
                <w:webHidden/>
              </w:rPr>
              <w:fldChar w:fldCharType="begin"/>
            </w:r>
            <w:r w:rsidR="007D0152">
              <w:rPr>
                <w:noProof/>
                <w:webHidden/>
              </w:rPr>
              <w:instrText xml:space="preserve"> PAGEREF _Toc90453957 \h </w:instrText>
            </w:r>
            <w:r w:rsidR="007D0152">
              <w:rPr>
                <w:noProof/>
                <w:webHidden/>
              </w:rPr>
            </w:r>
            <w:r w:rsidR="007D0152">
              <w:rPr>
                <w:noProof/>
                <w:webHidden/>
              </w:rPr>
              <w:fldChar w:fldCharType="separate"/>
            </w:r>
            <w:r w:rsidR="007D0152">
              <w:rPr>
                <w:noProof/>
                <w:webHidden/>
              </w:rPr>
              <w:t>9</w:t>
            </w:r>
            <w:r w:rsidR="007D0152">
              <w:rPr>
                <w:noProof/>
                <w:webHidden/>
              </w:rPr>
              <w:fldChar w:fldCharType="end"/>
            </w:r>
          </w:hyperlink>
        </w:p>
        <w:p w14:paraId="484D7E88" w14:textId="6D4585DB" w:rsidR="007D0152" w:rsidRDefault="00C25E2C">
          <w:pPr>
            <w:pStyle w:val="TDC2"/>
            <w:rPr>
              <w:rFonts w:asciiTheme="minorHAnsi" w:eastAsiaTheme="minorEastAsia" w:hAnsiTheme="minorHAnsi"/>
              <w:noProof/>
              <w:sz w:val="22"/>
              <w:lang w:val="es-CR" w:eastAsia="es-CR"/>
            </w:rPr>
          </w:pPr>
          <w:hyperlink w:anchor="_Toc90453958" w:history="1">
            <w:r w:rsidR="007D0152" w:rsidRPr="00A0121D">
              <w:rPr>
                <w:rStyle w:val="Hipervnculo"/>
                <w:noProof/>
              </w:rPr>
              <w:t>1.2.</w:t>
            </w:r>
            <w:r w:rsidR="007D0152">
              <w:rPr>
                <w:rFonts w:asciiTheme="minorHAnsi" w:eastAsiaTheme="minorEastAsia" w:hAnsiTheme="minorHAnsi"/>
                <w:noProof/>
                <w:sz w:val="22"/>
                <w:lang w:val="es-CR" w:eastAsia="es-CR"/>
              </w:rPr>
              <w:tab/>
            </w:r>
            <w:r w:rsidR="007D0152" w:rsidRPr="00A0121D">
              <w:rPr>
                <w:rStyle w:val="Hipervnculo"/>
                <w:noProof/>
              </w:rPr>
              <w:t>Objectives</w:t>
            </w:r>
            <w:r w:rsidR="007D0152">
              <w:rPr>
                <w:noProof/>
                <w:webHidden/>
              </w:rPr>
              <w:tab/>
            </w:r>
            <w:r w:rsidR="007D0152">
              <w:rPr>
                <w:noProof/>
                <w:webHidden/>
              </w:rPr>
              <w:fldChar w:fldCharType="begin"/>
            </w:r>
            <w:r w:rsidR="007D0152">
              <w:rPr>
                <w:noProof/>
                <w:webHidden/>
              </w:rPr>
              <w:instrText xml:space="preserve"> PAGEREF _Toc90453958 \h </w:instrText>
            </w:r>
            <w:r w:rsidR="007D0152">
              <w:rPr>
                <w:noProof/>
                <w:webHidden/>
              </w:rPr>
            </w:r>
            <w:r w:rsidR="007D0152">
              <w:rPr>
                <w:noProof/>
                <w:webHidden/>
              </w:rPr>
              <w:fldChar w:fldCharType="separate"/>
            </w:r>
            <w:r w:rsidR="007D0152">
              <w:rPr>
                <w:noProof/>
                <w:webHidden/>
              </w:rPr>
              <w:t>9</w:t>
            </w:r>
            <w:r w:rsidR="007D0152">
              <w:rPr>
                <w:noProof/>
                <w:webHidden/>
              </w:rPr>
              <w:fldChar w:fldCharType="end"/>
            </w:r>
          </w:hyperlink>
        </w:p>
        <w:p w14:paraId="5FFBF315" w14:textId="2DF54490" w:rsidR="007D0152" w:rsidRDefault="00C25E2C">
          <w:pPr>
            <w:pStyle w:val="TDC2"/>
            <w:rPr>
              <w:rFonts w:asciiTheme="minorHAnsi" w:eastAsiaTheme="minorEastAsia" w:hAnsiTheme="minorHAnsi"/>
              <w:noProof/>
              <w:sz w:val="22"/>
              <w:lang w:val="es-CR" w:eastAsia="es-CR"/>
            </w:rPr>
          </w:pPr>
          <w:hyperlink w:anchor="_Toc90453959" w:history="1">
            <w:r w:rsidR="007D0152" w:rsidRPr="00A0121D">
              <w:rPr>
                <w:rStyle w:val="Hipervnculo"/>
                <w:noProof/>
              </w:rPr>
              <w:t>1.3.</w:t>
            </w:r>
            <w:r w:rsidR="007D0152">
              <w:rPr>
                <w:rFonts w:asciiTheme="minorHAnsi" w:eastAsiaTheme="minorEastAsia" w:hAnsiTheme="minorHAnsi"/>
                <w:noProof/>
                <w:sz w:val="22"/>
                <w:lang w:val="es-CR" w:eastAsia="es-CR"/>
              </w:rPr>
              <w:tab/>
            </w:r>
            <w:r w:rsidR="007D0152" w:rsidRPr="00A0121D">
              <w:rPr>
                <w:rStyle w:val="Hipervnculo"/>
                <w:noProof/>
              </w:rPr>
              <w:t>Methodology</w:t>
            </w:r>
            <w:r w:rsidR="007D0152">
              <w:rPr>
                <w:noProof/>
                <w:webHidden/>
              </w:rPr>
              <w:tab/>
            </w:r>
            <w:r w:rsidR="007D0152">
              <w:rPr>
                <w:noProof/>
                <w:webHidden/>
              </w:rPr>
              <w:fldChar w:fldCharType="begin"/>
            </w:r>
            <w:r w:rsidR="007D0152">
              <w:rPr>
                <w:noProof/>
                <w:webHidden/>
              </w:rPr>
              <w:instrText xml:space="preserve"> PAGEREF _Toc90453959 \h </w:instrText>
            </w:r>
            <w:r w:rsidR="007D0152">
              <w:rPr>
                <w:noProof/>
                <w:webHidden/>
              </w:rPr>
            </w:r>
            <w:r w:rsidR="007D0152">
              <w:rPr>
                <w:noProof/>
                <w:webHidden/>
              </w:rPr>
              <w:fldChar w:fldCharType="separate"/>
            </w:r>
            <w:r w:rsidR="007D0152">
              <w:rPr>
                <w:noProof/>
                <w:webHidden/>
              </w:rPr>
              <w:t>9</w:t>
            </w:r>
            <w:r w:rsidR="007D0152">
              <w:rPr>
                <w:noProof/>
                <w:webHidden/>
              </w:rPr>
              <w:fldChar w:fldCharType="end"/>
            </w:r>
          </w:hyperlink>
        </w:p>
        <w:p w14:paraId="5FA95800" w14:textId="11D73B8D" w:rsidR="007D0152" w:rsidRDefault="00C25E2C">
          <w:pPr>
            <w:pStyle w:val="TDC1"/>
            <w:rPr>
              <w:rFonts w:asciiTheme="minorHAnsi" w:eastAsiaTheme="minorEastAsia" w:hAnsiTheme="minorHAnsi"/>
              <w:noProof/>
              <w:sz w:val="22"/>
              <w:lang w:val="es-CR" w:eastAsia="es-CR"/>
            </w:rPr>
          </w:pPr>
          <w:hyperlink w:anchor="_Toc90453960" w:history="1">
            <w:r w:rsidR="007D0152" w:rsidRPr="00A0121D">
              <w:rPr>
                <w:rStyle w:val="Hipervnculo"/>
                <w:noProof/>
              </w:rPr>
              <w:t>2.</w:t>
            </w:r>
            <w:r w:rsidR="007D0152">
              <w:rPr>
                <w:rFonts w:asciiTheme="minorHAnsi" w:eastAsiaTheme="minorEastAsia" w:hAnsiTheme="minorHAnsi"/>
                <w:noProof/>
                <w:sz w:val="22"/>
                <w:lang w:val="es-CR" w:eastAsia="es-CR"/>
              </w:rPr>
              <w:tab/>
            </w:r>
            <w:r w:rsidR="007D0152" w:rsidRPr="00A0121D">
              <w:rPr>
                <w:rStyle w:val="Hipervnculo"/>
                <w:noProof/>
              </w:rPr>
              <w:t>Structural and Regulatory Analysis</w:t>
            </w:r>
            <w:r w:rsidR="007D0152">
              <w:rPr>
                <w:noProof/>
                <w:webHidden/>
              </w:rPr>
              <w:tab/>
            </w:r>
            <w:r w:rsidR="007D0152">
              <w:rPr>
                <w:noProof/>
                <w:webHidden/>
              </w:rPr>
              <w:fldChar w:fldCharType="begin"/>
            </w:r>
            <w:r w:rsidR="007D0152">
              <w:rPr>
                <w:noProof/>
                <w:webHidden/>
              </w:rPr>
              <w:instrText xml:space="preserve"> PAGEREF _Toc90453960 \h </w:instrText>
            </w:r>
            <w:r w:rsidR="007D0152">
              <w:rPr>
                <w:noProof/>
                <w:webHidden/>
              </w:rPr>
            </w:r>
            <w:r w:rsidR="007D0152">
              <w:rPr>
                <w:noProof/>
                <w:webHidden/>
              </w:rPr>
              <w:fldChar w:fldCharType="separate"/>
            </w:r>
            <w:r w:rsidR="007D0152">
              <w:rPr>
                <w:noProof/>
                <w:webHidden/>
              </w:rPr>
              <w:t>10</w:t>
            </w:r>
            <w:r w:rsidR="007D0152">
              <w:rPr>
                <w:noProof/>
                <w:webHidden/>
              </w:rPr>
              <w:fldChar w:fldCharType="end"/>
            </w:r>
          </w:hyperlink>
        </w:p>
        <w:p w14:paraId="7EA1DD00" w14:textId="5302B645" w:rsidR="007D0152" w:rsidRDefault="00C25E2C">
          <w:pPr>
            <w:pStyle w:val="TDC2"/>
            <w:rPr>
              <w:rFonts w:asciiTheme="minorHAnsi" w:eastAsiaTheme="minorEastAsia" w:hAnsiTheme="minorHAnsi"/>
              <w:noProof/>
              <w:sz w:val="22"/>
              <w:lang w:val="es-CR" w:eastAsia="es-CR"/>
            </w:rPr>
          </w:pPr>
          <w:hyperlink w:anchor="_Toc90453961" w:history="1">
            <w:r w:rsidR="007D0152" w:rsidRPr="00A0121D">
              <w:rPr>
                <w:rStyle w:val="Hipervnculo"/>
                <w:noProof/>
              </w:rPr>
              <w:t>2.1.</w:t>
            </w:r>
            <w:r w:rsidR="007D0152">
              <w:rPr>
                <w:rFonts w:asciiTheme="minorHAnsi" w:eastAsiaTheme="minorEastAsia" w:hAnsiTheme="minorHAnsi"/>
                <w:noProof/>
                <w:sz w:val="22"/>
                <w:lang w:val="es-CR" w:eastAsia="es-CR"/>
              </w:rPr>
              <w:tab/>
            </w:r>
            <w:r w:rsidR="007D0152" w:rsidRPr="00A0121D">
              <w:rPr>
                <w:rStyle w:val="Hipervnculo"/>
                <w:noProof/>
              </w:rPr>
              <w:t>Economic context of Central American electricity sector</w:t>
            </w:r>
            <w:r w:rsidR="007D0152">
              <w:rPr>
                <w:noProof/>
                <w:webHidden/>
              </w:rPr>
              <w:tab/>
            </w:r>
            <w:r w:rsidR="007D0152">
              <w:rPr>
                <w:noProof/>
                <w:webHidden/>
              </w:rPr>
              <w:fldChar w:fldCharType="begin"/>
            </w:r>
            <w:r w:rsidR="007D0152">
              <w:rPr>
                <w:noProof/>
                <w:webHidden/>
              </w:rPr>
              <w:instrText xml:space="preserve"> PAGEREF _Toc90453961 \h </w:instrText>
            </w:r>
            <w:r w:rsidR="007D0152">
              <w:rPr>
                <w:noProof/>
                <w:webHidden/>
              </w:rPr>
            </w:r>
            <w:r w:rsidR="007D0152">
              <w:rPr>
                <w:noProof/>
                <w:webHidden/>
              </w:rPr>
              <w:fldChar w:fldCharType="separate"/>
            </w:r>
            <w:r w:rsidR="007D0152">
              <w:rPr>
                <w:noProof/>
                <w:webHidden/>
              </w:rPr>
              <w:t>10</w:t>
            </w:r>
            <w:r w:rsidR="007D0152">
              <w:rPr>
                <w:noProof/>
                <w:webHidden/>
              </w:rPr>
              <w:fldChar w:fldCharType="end"/>
            </w:r>
          </w:hyperlink>
        </w:p>
        <w:p w14:paraId="22A84383" w14:textId="042C0567" w:rsidR="007D0152" w:rsidRDefault="00C25E2C">
          <w:pPr>
            <w:pStyle w:val="TDC2"/>
            <w:rPr>
              <w:rFonts w:asciiTheme="minorHAnsi" w:eastAsiaTheme="minorEastAsia" w:hAnsiTheme="minorHAnsi"/>
              <w:noProof/>
              <w:sz w:val="22"/>
              <w:lang w:val="es-CR" w:eastAsia="es-CR"/>
            </w:rPr>
          </w:pPr>
          <w:hyperlink w:anchor="_Toc90453962" w:history="1">
            <w:r w:rsidR="007D0152" w:rsidRPr="00A0121D">
              <w:rPr>
                <w:rStyle w:val="Hipervnculo"/>
                <w:noProof/>
              </w:rPr>
              <w:t>2.2.</w:t>
            </w:r>
            <w:r w:rsidR="007D0152">
              <w:rPr>
                <w:rFonts w:asciiTheme="minorHAnsi" w:eastAsiaTheme="minorEastAsia" w:hAnsiTheme="minorHAnsi"/>
                <w:noProof/>
                <w:sz w:val="22"/>
                <w:lang w:val="es-CR" w:eastAsia="es-CR"/>
              </w:rPr>
              <w:tab/>
            </w:r>
            <w:r w:rsidR="007D0152" w:rsidRPr="00A0121D">
              <w:rPr>
                <w:rStyle w:val="Hipervnculo"/>
                <w:noProof/>
              </w:rPr>
              <w:t>The regional electricity markets</w:t>
            </w:r>
            <w:r w:rsidR="007D0152">
              <w:rPr>
                <w:noProof/>
                <w:webHidden/>
              </w:rPr>
              <w:tab/>
            </w:r>
            <w:r w:rsidR="007D0152">
              <w:rPr>
                <w:noProof/>
                <w:webHidden/>
              </w:rPr>
              <w:fldChar w:fldCharType="begin"/>
            </w:r>
            <w:r w:rsidR="007D0152">
              <w:rPr>
                <w:noProof/>
                <w:webHidden/>
              </w:rPr>
              <w:instrText xml:space="preserve"> PAGEREF _Toc90453962 \h </w:instrText>
            </w:r>
            <w:r w:rsidR="007D0152">
              <w:rPr>
                <w:noProof/>
                <w:webHidden/>
              </w:rPr>
            </w:r>
            <w:r w:rsidR="007D0152">
              <w:rPr>
                <w:noProof/>
                <w:webHidden/>
              </w:rPr>
              <w:fldChar w:fldCharType="separate"/>
            </w:r>
            <w:r w:rsidR="007D0152">
              <w:rPr>
                <w:noProof/>
                <w:webHidden/>
              </w:rPr>
              <w:t>12</w:t>
            </w:r>
            <w:r w:rsidR="007D0152">
              <w:rPr>
                <w:noProof/>
                <w:webHidden/>
              </w:rPr>
              <w:fldChar w:fldCharType="end"/>
            </w:r>
          </w:hyperlink>
        </w:p>
        <w:p w14:paraId="2C32AB78" w14:textId="4EFC2D34" w:rsidR="007D0152" w:rsidRDefault="00C25E2C">
          <w:pPr>
            <w:pStyle w:val="TDC2"/>
            <w:rPr>
              <w:rFonts w:asciiTheme="minorHAnsi" w:eastAsiaTheme="minorEastAsia" w:hAnsiTheme="minorHAnsi"/>
              <w:noProof/>
              <w:sz w:val="22"/>
              <w:lang w:val="es-CR" w:eastAsia="es-CR"/>
            </w:rPr>
          </w:pPr>
          <w:hyperlink w:anchor="_Toc90453963" w:history="1">
            <w:r w:rsidR="007D0152" w:rsidRPr="00A0121D">
              <w:rPr>
                <w:rStyle w:val="Hipervnculo"/>
                <w:noProof/>
              </w:rPr>
              <w:t>2.3.</w:t>
            </w:r>
            <w:r w:rsidR="007D0152">
              <w:rPr>
                <w:rFonts w:asciiTheme="minorHAnsi" w:eastAsiaTheme="minorEastAsia" w:hAnsiTheme="minorHAnsi"/>
                <w:noProof/>
                <w:sz w:val="22"/>
                <w:lang w:val="es-CR" w:eastAsia="es-CR"/>
              </w:rPr>
              <w:tab/>
            </w:r>
            <w:r w:rsidR="007D0152" w:rsidRPr="00A0121D">
              <w:rPr>
                <w:rStyle w:val="Hipervnculo"/>
                <w:noProof/>
              </w:rPr>
              <w:t>The national electricity markets</w:t>
            </w:r>
            <w:r w:rsidR="007D0152">
              <w:rPr>
                <w:noProof/>
                <w:webHidden/>
              </w:rPr>
              <w:tab/>
            </w:r>
            <w:r w:rsidR="007D0152">
              <w:rPr>
                <w:noProof/>
                <w:webHidden/>
              </w:rPr>
              <w:fldChar w:fldCharType="begin"/>
            </w:r>
            <w:r w:rsidR="007D0152">
              <w:rPr>
                <w:noProof/>
                <w:webHidden/>
              </w:rPr>
              <w:instrText xml:space="preserve"> PAGEREF _Toc90453963 \h </w:instrText>
            </w:r>
            <w:r w:rsidR="007D0152">
              <w:rPr>
                <w:noProof/>
                <w:webHidden/>
              </w:rPr>
            </w:r>
            <w:r w:rsidR="007D0152">
              <w:rPr>
                <w:noProof/>
                <w:webHidden/>
              </w:rPr>
              <w:fldChar w:fldCharType="separate"/>
            </w:r>
            <w:r w:rsidR="007D0152">
              <w:rPr>
                <w:noProof/>
                <w:webHidden/>
              </w:rPr>
              <w:t>17</w:t>
            </w:r>
            <w:r w:rsidR="007D0152">
              <w:rPr>
                <w:noProof/>
                <w:webHidden/>
              </w:rPr>
              <w:fldChar w:fldCharType="end"/>
            </w:r>
          </w:hyperlink>
        </w:p>
        <w:p w14:paraId="2EE8DAE2" w14:textId="0C7B16D3" w:rsidR="007D0152" w:rsidRDefault="00C25E2C">
          <w:pPr>
            <w:pStyle w:val="TDC1"/>
            <w:rPr>
              <w:rFonts w:asciiTheme="minorHAnsi" w:eastAsiaTheme="minorEastAsia" w:hAnsiTheme="minorHAnsi"/>
              <w:noProof/>
              <w:sz w:val="22"/>
              <w:lang w:val="es-CR" w:eastAsia="es-CR"/>
            </w:rPr>
          </w:pPr>
          <w:hyperlink w:anchor="_Toc90453964" w:history="1">
            <w:r w:rsidR="007D0152" w:rsidRPr="00A0121D">
              <w:rPr>
                <w:rStyle w:val="Hipervnculo"/>
                <w:noProof/>
              </w:rPr>
              <w:t>3.</w:t>
            </w:r>
            <w:r w:rsidR="007D0152">
              <w:rPr>
                <w:rFonts w:asciiTheme="minorHAnsi" w:eastAsiaTheme="minorEastAsia" w:hAnsiTheme="minorHAnsi"/>
                <w:noProof/>
                <w:sz w:val="22"/>
                <w:lang w:val="es-CR" w:eastAsia="es-CR"/>
              </w:rPr>
              <w:tab/>
            </w:r>
            <w:r w:rsidR="007D0152" w:rsidRPr="00A0121D">
              <w:rPr>
                <w:rStyle w:val="Hipervnculo"/>
                <w:noProof/>
              </w:rPr>
              <w:t>Renewable Energy Regulatory and Technical Barriers</w:t>
            </w:r>
            <w:r w:rsidR="007D0152">
              <w:rPr>
                <w:noProof/>
                <w:webHidden/>
              </w:rPr>
              <w:tab/>
            </w:r>
            <w:r w:rsidR="007D0152">
              <w:rPr>
                <w:noProof/>
                <w:webHidden/>
              </w:rPr>
              <w:fldChar w:fldCharType="begin"/>
            </w:r>
            <w:r w:rsidR="007D0152">
              <w:rPr>
                <w:noProof/>
                <w:webHidden/>
              </w:rPr>
              <w:instrText xml:space="preserve"> PAGEREF _Toc90453964 \h </w:instrText>
            </w:r>
            <w:r w:rsidR="007D0152">
              <w:rPr>
                <w:noProof/>
                <w:webHidden/>
              </w:rPr>
            </w:r>
            <w:r w:rsidR="007D0152">
              <w:rPr>
                <w:noProof/>
                <w:webHidden/>
              </w:rPr>
              <w:fldChar w:fldCharType="separate"/>
            </w:r>
            <w:r w:rsidR="007D0152">
              <w:rPr>
                <w:noProof/>
                <w:webHidden/>
              </w:rPr>
              <w:t>20</w:t>
            </w:r>
            <w:r w:rsidR="007D0152">
              <w:rPr>
                <w:noProof/>
                <w:webHidden/>
              </w:rPr>
              <w:fldChar w:fldCharType="end"/>
            </w:r>
          </w:hyperlink>
        </w:p>
        <w:p w14:paraId="3621E419" w14:textId="253F18D3" w:rsidR="007D0152" w:rsidRDefault="00C25E2C">
          <w:pPr>
            <w:pStyle w:val="TDC2"/>
            <w:rPr>
              <w:rFonts w:asciiTheme="minorHAnsi" w:eastAsiaTheme="minorEastAsia" w:hAnsiTheme="minorHAnsi"/>
              <w:noProof/>
              <w:sz w:val="22"/>
              <w:lang w:val="es-CR" w:eastAsia="es-CR"/>
            </w:rPr>
          </w:pPr>
          <w:hyperlink w:anchor="_Toc90453965" w:history="1">
            <w:r w:rsidR="007D0152" w:rsidRPr="00A0121D">
              <w:rPr>
                <w:rStyle w:val="Hipervnculo"/>
                <w:noProof/>
              </w:rPr>
              <w:t>3.1.</w:t>
            </w:r>
            <w:r w:rsidR="007D0152">
              <w:rPr>
                <w:rFonts w:asciiTheme="minorHAnsi" w:eastAsiaTheme="minorEastAsia" w:hAnsiTheme="minorHAnsi"/>
                <w:noProof/>
                <w:sz w:val="22"/>
                <w:lang w:val="es-CR" w:eastAsia="es-CR"/>
              </w:rPr>
              <w:tab/>
            </w:r>
            <w:r w:rsidR="007D0152" w:rsidRPr="00A0121D">
              <w:rPr>
                <w:rStyle w:val="Hipervnculo"/>
                <w:noProof/>
              </w:rPr>
              <w:t>Identification of specific regulatory and technical barriers for RE</w:t>
            </w:r>
            <w:r w:rsidR="007D0152">
              <w:rPr>
                <w:noProof/>
                <w:webHidden/>
              </w:rPr>
              <w:tab/>
            </w:r>
            <w:r w:rsidR="007D0152">
              <w:rPr>
                <w:noProof/>
                <w:webHidden/>
              </w:rPr>
              <w:fldChar w:fldCharType="begin"/>
            </w:r>
            <w:r w:rsidR="007D0152">
              <w:rPr>
                <w:noProof/>
                <w:webHidden/>
              </w:rPr>
              <w:instrText xml:space="preserve"> PAGEREF _Toc90453965 \h </w:instrText>
            </w:r>
            <w:r w:rsidR="007D0152">
              <w:rPr>
                <w:noProof/>
                <w:webHidden/>
              </w:rPr>
            </w:r>
            <w:r w:rsidR="007D0152">
              <w:rPr>
                <w:noProof/>
                <w:webHidden/>
              </w:rPr>
              <w:fldChar w:fldCharType="separate"/>
            </w:r>
            <w:r w:rsidR="007D0152">
              <w:rPr>
                <w:noProof/>
                <w:webHidden/>
              </w:rPr>
              <w:t>20</w:t>
            </w:r>
            <w:r w:rsidR="007D0152">
              <w:rPr>
                <w:noProof/>
                <w:webHidden/>
              </w:rPr>
              <w:fldChar w:fldCharType="end"/>
            </w:r>
          </w:hyperlink>
        </w:p>
        <w:p w14:paraId="4D385E4F" w14:textId="1DFD1CC3" w:rsidR="007D0152" w:rsidRDefault="00C25E2C">
          <w:pPr>
            <w:pStyle w:val="TDC2"/>
            <w:rPr>
              <w:rFonts w:asciiTheme="minorHAnsi" w:eastAsiaTheme="minorEastAsia" w:hAnsiTheme="minorHAnsi"/>
              <w:noProof/>
              <w:sz w:val="22"/>
              <w:lang w:val="es-CR" w:eastAsia="es-CR"/>
            </w:rPr>
          </w:pPr>
          <w:hyperlink w:anchor="_Toc90453966" w:history="1">
            <w:r w:rsidR="007D0152" w:rsidRPr="00A0121D">
              <w:rPr>
                <w:rStyle w:val="Hipervnculo"/>
                <w:noProof/>
              </w:rPr>
              <w:t>3.2.</w:t>
            </w:r>
            <w:r w:rsidR="007D0152">
              <w:rPr>
                <w:rFonts w:asciiTheme="minorHAnsi" w:eastAsiaTheme="minorEastAsia" w:hAnsiTheme="minorHAnsi"/>
                <w:noProof/>
                <w:sz w:val="22"/>
                <w:lang w:val="es-CR" w:eastAsia="es-CR"/>
              </w:rPr>
              <w:tab/>
            </w:r>
            <w:r w:rsidR="007D0152" w:rsidRPr="00A0121D">
              <w:rPr>
                <w:rStyle w:val="Hipervnculo"/>
                <w:noProof/>
              </w:rPr>
              <w:t>Validation of identified barriers and potential actions to solve them</w:t>
            </w:r>
            <w:r w:rsidR="007D0152">
              <w:rPr>
                <w:noProof/>
                <w:webHidden/>
              </w:rPr>
              <w:tab/>
            </w:r>
            <w:r w:rsidR="007D0152">
              <w:rPr>
                <w:noProof/>
                <w:webHidden/>
              </w:rPr>
              <w:fldChar w:fldCharType="begin"/>
            </w:r>
            <w:r w:rsidR="007D0152">
              <w:rPr>
                <w:noProof/>
                <w:webHidden/>
              </w:rPr>
              <w:instrText xml:space="preserve"> PAGEREF _Toc90453966 \h </w:instrText>
            </w:r>
            <w:r w:rsidR="007D0152">
              <w:rPr>
                <w:noProof/>
                <w:webHidden/>
              </w:rPr>
            </w:r>
            <w:r w:rsidR="007D0152">
              <w:rPr>
                <w:noProof/>
                <w:webHidden/>
              </w:rPr>
              <w:fldChar w:fldCharType="separate"/>
            </w:r>
            <w:r w:rsidR="007D0152">
              <w:rPr>
                <w:noProof/>
                <w:webHidden/>
              </w:rPr>
              <w:t>22</w:t>
            </w:r>
            <w:r w:rsidR="007D0152">
              <w:rPr>
                <w:noProof/>
                <w:webHidden/>
              </w:rPr>
              <w:fldChar w:fldCharType="end"/>
            </w:r>
          </w:hyperlink>
        </w:p>
        <w:p w14:paraId="0686E4A1" w14:textId="6AA3F539" w:rsidR="007D0152" w:rsidRDefault="00C25E2C">
          <w:pPr>
            <w:pStyle w:val="TDC2"/>
            <w:rPr>
              <w:rFonts w:asciiTheme="minorHAnsi" w:eastAsiaTheme="minorEastAsia" w:hAnsiTheme="minorHAnsi"/>
              <w:noProof/>
              <w:sz w:val="22"/>
              <w:lang w:val="es-CR" w:eastAsia="es-CR"/>
            </w:rPr>
          </w:pPr>
          <w:hyperlink w:anchor="_Toc90453967" w:history="1">
            <w:r w:rsidR="007D0152" w:rsidRPr="00A0121D">
              <w:rPr>
                <w:rStyle w:val="Hipervnculo"/>
                <w:noProof/>
              </w:rPr>
              <w:t>3.3.</w:t>
            </w:r>
            <w:r w:rsidR="007D0152">
              <w:rPr>
                <w:rFonts w:asciiTheme="minorHAnsi" w:eastAsiaTheme="minorEastAsia" w:hAnsiTheme="minorHAnsi"/>
                <w:noProof/>
                <w:sz w:val="22"/>
                <w:lang w:val="es-CR" w:eastAsia="es-CR"/>
              </w:rPr>
              <w:tab/>
            </w:r>
            <w:r w:rsidR="007D0152" w:rsidRPr="00A0121D">
              <w:rPr>
                <w:rStyle w:val="Hipervnculo"/>
                <w:noProof/>
              </w:rPr>
              <w:t>Recommendations to achieve sustainable development of RE</w:t>
            </w:r>
            <w:r w:rsidR="007D0152">
              <w:rPr>
                <w:noProof/>
                <w:webHidden/>
              </w:rPr>
              <w:tab/>
            </w:r>
            <w:r w:rsidR="007D0152">
              <w:rPr>
                <w:noProof/>
                <w:webHidden/>
              </w:rPr>
              <w:fldChar w:fldCharType="begin"/>
            </w:r>
            <w:r w:rsidR="007D0152">
              <w:rPr>
                <w:noProof/>
                <w:webHidden/>
              </w:rPr>
              <w:instrText xml:space="preserve"> PAGEREF _Toc90453967 \h </w:instrText>
            </w:r>
            <w:r w:rsidR="007D0152">
              <w:rPr>
                <w:noProof/>
                <w:webHidden/>
              </w:rPr>
            </w:r>
            <w:r w:rsidR="007D0152">
              <w:rPr>
                <w:noProof/>
                <w:webHidden/>
              </w:rPr>
              <w:fldChar w:fldCharType="separate"/>
            </w:r>
            <w:r w:rsidR="007D0152">
              <w:rPr>
                <w:noProof/>
                <w:webHidden/>
              </w:rPr>
              <w:t>24</w:t>
            </w:r>
            <w:r w:rsidR="007D0152">
              <w:rPr>
                <w:noProof/>
                <w:webHidden/>
              </w:rPr>
              <w:fldChar w:fldCharType="end"/>
            </w:r>
          </w:hyperlink>
        </w:p>
        <w:p w14:paraId="7FFDA57D" w14:textId="52554231" w:rsidR="007D0152" w:rsidRDefault="00C25E2C">
          <w:pPr>
            <w:pStyle w:val="TDC1"/>
            <w:rPr>
              <w:rFonts w:asciiTheme="minorHAnsi" w:eastAsiaTheme="minorEastAsia" w:hAnsiTheme="minorHAnsi"/>
              <w:noProof/>
              <w:sz w:val="22"/>
              <w:lang w:val="es-CR" w:eastAsia="es-CR"/>
            </w:rPr>
          </w:pPr>
          <w:hyperlink w:anchor="_Toc90453968" w:history="1">
            <w:r w:rsidR="007D0152" w:rsidRPr="00A0121D">
              <w:rPr>
                <w:rStyle w:val="Hipervnculo"/>
                <w:noProof/>
              </w:rPr>
              <w:t>4.</w:t>
            </w:r>
            <w:r w:rsidR="007D0152">
              <w:rPr>
                <w:rFonts w:asciiTheme="minorHAnsi" w:eastAsiaTheme="minorEastAsia" w:hAnsiTheme="minorHAnsi"/>
                <w:noProof/>
                <w:sz w:val="22"/>
                <w:lang w:val="es-CR" w:eastAsia="es-CR"/>
              </w:rPr>
              <w:tab/>
            </w:r>
            <w:r w:rsidR="007D0152" w:rsidRPr="00A0121D">
              <w:rPr>
                <w:rStyle w:val="Hipervnculo"/>
                <w:noProof/>
              </w:rPr>
              <w:t>Market Analysis and Opportunities</w:t>
            </w:r>
            <w:r w:rsidR="007D0152">
              <w:rPr>
                <w:noProof/>
                <w:webHidden/>
              </w:rPr>
              <w:tab/>
            </w:r>
            <w:r w:rsidR="007D0152">
              <w:rPr>
                <w:noProof/>
                <w:webHidden/>
              </w:rPr>
              <w:fldChar w:fldCharType="begin"/>
            </w:r>
            <w:r w:rsidR="007D0152">
              <w:rPr>
                <w:noProof/>
                <w:webHidden/>
              </w:rPr>
              <w:instrText xml:space="preserve"> PAGEREF _Toc90453968 \h </w:instrText>
            </w:r>
            <w:r w:rsidR="007D0152">
              <w:rPr>
                <w:noProof/>
                <w:webHidden/>
              </w:rPr>
            </w:r>
            <w:r w:rsidR="007D0152">
              <w:rPr>
                <w:noProof/>
                <w:webHidden/>
              </w:rPr>
              <w:fldChar w:fldCharType="separate"/>
            </w:r>
            <w:r w:rsidR="007D0152">
              <w:rPr>
                <w:noProof/>
                <w:webHidden/>
              </w:rPr>
              <w:t>26</w:t>
            </w:r>
            <w:r w:rsidR="007D0152">
              <w:rPr>
                <w:noProof/>
                <w:webHidden/>
              </w:rPr>
              <w:fldChar w:fldCharType="end"/>
            </w:r>
          </w:hyperlink>
        </w:p>
        <w:p w14:paraId="40C2A4AC" w14:textId="40B934A0" w:rsidR="007D0152" w:rsidRDefault="00C25E2C">
          <w:pPr>
            <w:pStyle w:val="TDC2"/>
            <w:rPr>
              <w:rFonts w:asciiTheme="minorHAnsi" w:eastAsiaTheme="minorEastAsia" w:hAnsiTheme="minorHAnsi"/>
              <w:noProof/>
              <w:sz w:val="22"/>
              <w:lang w:val="es-CR" w:eastAsia="es-CR"/>
            </w:rPr>
          </w:pPr>
          <w:hyperlink w:anchor="_Toc90453969" w:history="1">
            <w:r w:rsidR="007D0152" w:rsidRPr="00A0121D">
              <w:rPr>
                <w:rStyle w:val="Hipervnculo"/>
                <w:noProof/>
              </w:rPr>
              <w:t>4.1.</w:t>
            </w:r>
            <w:r w:rsidR="007D0152">
              <w:rPr>
                <w:rFonts w:asciiTheme="minorHAnsi" w:eastAsiaTheme="minorEastAsia" w:hAnsiTheme="minorHAnsi"/>
                <w:noProof/>
                <w:sz w:val="22"/>
                <w:lang w:val="es-CR" w:eastAsia="es-CR"/>
              </w:rPr>
              <w:tab/>
            </w:r>
            <w:r w:rsidR="007D0152" w:rsidRPr="00A0121D">
              <w:rPr>
                <w:rStyle w:val="Hipervnculo"/>
                <w:noProof/>
              </w:rPr>
              <w:t>Decarbonization and RE commitments and targets per country</w:t>
            </w:r>
            <w:r w:rsidR="007D0152">
              <w:rPr>
                <w:noProof/>
                <w:webHidden/>
              </w:rPr>
              <w:tab/>
            </w:r>
            <w:r w:rsidR="007D0152">
              <w:rPr>
                <w:noProof/>
                <w:webHidden/>
              </w:rPr>
              <w:fldChar w:fldCharType="begin"/>
            </w:r>
            <w:r w:rsidR="007D0152">
              <w:rPr>
                <w:noProof/>
                <w:webHidden/>
              </w:rPr>
              <w:instrText xml:space="preserve"> PAGEREF _Toc90453969 \h </w:instrText>
            </w:r>
            <w:r w:rsidR="007D0152">
              <w:rPr>
                <w:noProof/>
                <w:webHidden/>
              </w:rPr>
            </w:r>
            <w:r w:rsidR="007D0152">
              <w:rPr>
                <w:noProof/>
                <w:webHidden/>
              </w:rPr>
              <w:fldChar w:fldCharType="separate"/>
            </w:r>
            <w:r w:rsidR="007D0152">
              <w:rPr>
                <w:noProof/>
                <w:webHidden/>
              </w:rPr>
              <w:t>26</w:t>
            </w:r>
            <w:r w:rsidR="007D0152">
              <w:rPr>
                <w:noProof/>
                <w:webHidden/>
              </w:rPr>
              <w:fldChar w:fldCharType="end"/>
            </w:r>
          </w:hyperlink>
        </w:p>
        <w:p w14:paraId="0634227F" w14:textId="5FEF72EB" w:rsidR="007D0152" w:rsidRDefault="00C25E2C">
          <w:pPr>
            <w:pStyle w:val="TDC2"/>
            <w:rPr>
              <w:rFonts w:asciiTheme="minorHAnsi" w:eastAsiaTheme="minorEastAsia" w:hAnsiTheme="minorHAnsi"/>
              <w:noProof/>
              <w:sz w:val="22"/>
              <w:lang w:val="es-CR" w:eastAsia="es-CR"/>
            </w:rPr>
          </w:pPr>
          <w:hyperlink w:anchor="_Toc90453970" w:history="1">
            <w:r w:rsidR="007D0152" w:rsidRPr="00A0121D">
              <w:rPr>
                <w:rStyle w:val="Hipervnculo"/>
                <w:noProof/>
              </w:rPr>
              <w:t>4.2.</w:t>
            </w:r>
            <w:r w:rsidR="007D0152">
              <w:rPr>
                <w:rFonts w:asciiTheme="minorHAnsi" w:eastAsiaTheme="minorEastAsia" w:hAnsiTheme="minorHAnsi"/>
                <w:noProof/>
                <w:sz w:val="22"/>
                <w:lang w:val="es-CR" w:eastAsia="es-CR"/>
              </w:rPr>
              <w:tab/>
            </w:r>
            <w:r w:rsidR="007D0152" w:rsidRPr="00A0121D">
              <w:rPr>
                <w:rStyle w:val="Hipervnculo"/>
                <w:noProof/>
              </w:rPr>
              <w:t>Segments and subsectors with the greatest potential for growth</w:t>
            </w:r>
            <w:r w:rsidR="007D0152">
              <w:rPr>
                <w:noProof/>
                <w:webHidden/>
              </w:rPr>
              <w:tab/>
            </w:r>
            <w:r w:rsidR="007D0152">
              <w:rPr>
                <w:noProof/>
                <w:webHidden/>
              </w:rPr>
              <w:fldChar w:fldCharType="begin"/>
            </w:r>
            <w:r w:rsidR="007D0152">
              <w:rPr>
                <w:noProof/>
                <w:webHidden/>
              </w:rPr>
              <w:instrText xml:space="preserve"> PAGEREF _Toc90453970 \h </w:instrText>
            </w:r>
            <w:r w:rsidR="007D0152">
              <w:rPr>
                <w:noProof/>
                <w:webHidden/>
              </w:rPr>
            </w:r>
            <w:r w:rsidR="007D0152">
              <w:rPr>
                <w:noProof/>
                <w:webHidden/>
              </w:rPr>
              <w:fldChar w:fldCharType="separate"/>
            </w:r>
            <w:r w:rsidR="007D0152">
              <w:rPr>
                <w:noProof/>
                <w:webHidden/>
              </w:rPr>
              <w:t>29</w:t>
            </w:r>
            <w:r w:rsidR="007D0152">
              <w:rPr>
                <w:noProof/>
                <w:webHidden/>
              </w:rPr>
              <w:fldChar w:fldCharType="end"/>
            </w:r>
          </w:hyperlink>
        </w:p>
        <w:p w14:paraId="191C049B" w14:textId="31007AFA" w:rsidR="007D0152" w:rsidRDefault="00C25E2C">
          <w:pPr>
            <w:pStyle w:val="TDC2"/>
            <w:rPr>
              <w:rFonts w:asciiTheme="minorHAnsi" w:eastAsiaTheme="minorEastAsia" w:hAnsiTheme="minorHAnsi"/>
              <w:noProof/>
              <w:sz w:val="22"/>
              <w:lang w:val="es-CR" w:eastAsia="es-CR"/>
            </w:rPr>
          </w:pPr>
          <w:hyperlink w:anchor="_Toc90453971" w:history="1">
            <w:r w:rsidR="007D0152" w:rsidRPr="00A0121D">
              <w:rPr>
                <w:rStyle w:val="Hipervnculo"/>
                <w:noProof/>
              </w:rPr>
              <w:t>4.3.</w:t>
            </w:r>
            <w:r w:rsidR="007D0152">
              <w:rPr>
                <w:rFonts w:asciiTheme="minorHAnsi" w:eastAsiaTheme="minorEastAsia" w:hAnsiTheme="minorHAnsi"/>
                <w:noProof/>
                <w:sz w:val="22"/>
                <w:lang w:val="es-CR" w:eastAsia="es-CR"/>
              </w:rPr>
              <w:tab/>
            </w:r>
            <w:r w:rsidR="007D0152" w:rsidRPr="00A0121D">
              <w:rPr>
                <w:rStyle w:val="Hipervnculo"/>
                <w:noProof/>
              </w:rPr>
              <w:t>Market gaps and installed capacity</w:t>
            </w:r>
            <w:r w:rsidR="007D0152">
              <w:rPr>
                <w:noProof/>
                <w:webHidden/>
              </w:rPr>
              <w:tab/>
            </w:r>
            <w:r w:rsidR="007D0152">
              <w:rPr>
                <w:noProof/>
                <w:webHidden/>
              </w:rPr>
              <w:fldChar w:fldCharType="begin"/>
            </w:r>
            <w:r w:rsidR="007D0152">
              <w:rPr>
                <w:noProof/>
                <w:webHidden/>
              </w:rPr>
              <w:instrText xml:space="preserve"> PAGEREF _Toc90453971 \h </w:instrText>
            </w:r>
            <w:r w:rsidR="007D0152">
              <w:rPr>
                <w:noProof/>
                <w:webHidden/>
              </w:rPr>
            </w:r>
            <w:r w:rsidR="007D0152">
              <w:rPr>
                <w:noProof/>
                <w:webHidden/>
              </w:rPr>
              <w:fldChar w:fldCharType="separate"/>
            </w:r>
            <w:r w:rsidR="007D0152">
              <w:rPr>
                <w:noProof/>
                <w:webHidden/>
              </w:rPr>
              <w:t>30</w:t>
            </w:r>
            <w:r w:rsidR="007D0152">
              <w:rPr>
                <w:noProof/>
                <w:webHidden/>
              </w:rPr>
              <w:fldChar w:fldCharType="end"/>
            </w:r>
          </w:hyperlink>
        </w:p>
        <w:p w14:paraId="62E97710" w14:textId="78C169DA" w:rsidR="007D0152" w:rsidRDefault="00C25E2C">
          <w:pPr>
            <w:pStyle w:val="TDC2"/>
            <w:rPr>
              <w:rFonts w:asciiTheme="minorHAnsi" w:eastAsiaTheme="minorEastAsia" w:hAnsiTheme="minorHAnsi"/>
              <w:noProof/>
              <w:sz w:val="22"/>
              <w:lang w:val="es-CR" w:eastAsia="es-CR"/>
            </w:rPr>
          </w:pPr>
          <w:hyperlink w:anchor="_Toc90453972" w:history="1">
            <w:r w:rsidR="007D0152" w:rsidRPr="00A0121D">
              <w:rPr>
                <w:rStyle w:val="Hipervnculo"/>
                <w:noProof/>
              </w:rPr>
              <w:t>4.4.</w:t>
            </w:r>
            <w:r w:rsidR="007D0152">
              <w:rPr>
                <w:rFonts w:asciiTheme="minorHAnsi" w:eastAsiaTheme="minorEastAsia" w:hAnsiTheme="minorHAnsi"/>
                <w:noProof/>
                <w:sz w:val="22"/>
                <w:lang w:val="es-CR" w:eastAsia="es-CR"/>
              </w:rPr>
              <w:tab/>
            </w:r>
            <w:r w:rsidR="007D0152" w:rsidRPr="00A0121D">
              <w:rPr>
                <w:rStyle w:val="Hipervnculo"/>
                <w:noProof/>
              </w:rPr>
              <w:t>Validation of market opportunities</w:t>
            </w:r>
            <w:r w:rsidR="007D0152">
              <w:rPr>
                <w:noProof/>
                <w:webHidden/>
              </w:rPr>
              <w:tab/>
            </w:r>
            <w:r w:rsidR="007D0152">
              <w:rPr>
                <w:noProof/>
                <w:webHidden/>
              </w:rPr>
              <w:fldChar w:fldCharType="begin"/>
            </w:r>
            <w:r w:rsidR="007D0152">
              <w:rPr>
                <w:noProof/>
                <w:webHidden/>
              </w:rPr>
              <w:instrText xml:space="preserve"> PAGEREF _Toc90453972 \h </w:instrText>
            </w:r>
            <w:r w:rsidR="007D0152">
              <w:rPr>
                <w:noProof/>
                <w:webHidden/>
              </w:rPr>
            </w:r>
            <w:r w:rsidR="007D0152">
              <w:rPr>
                <w:noProof/>
                <w:webHidden/>
              </w:rPr>
              <w:fldChar w:fldCharType="separate"/>
            </w:r>
            <w:r w:rsidR="007D0152">
              <w:rPr>
                <w:noProof/>
                <w:webHidden/>
              </w:rPr>
              <w:t>33</w:t>
            </w:r>
            <w:r w:rsidR="007D0152">
              <w:rPr>
                <w:noProof/>
                <w:webHidden/>
              </w:rPr>
              <w:fldChar w:fldCharType="end"/>
            </w:r>
          </w:hyperlink>
        </w:p>
        <w:p w14:paraId="318988F7" w14:textId="7846F4F3" w:rsidR="007D0152" w:rsidRDefault="00C25E2C">
          <w:pPr>
            <w:pStyle w:val="TDC1"/>
            <w:rPr>
              <w:rFonts w:asciiTheme="minorHAnsi" w:eastAsiaTheme="minorEastAsia" w:hAnsiTheme="minorHAnsi"/>
              <w:noProof/>
              <w:sz w:val="22"/>
              <w:lang w:val="es-CR" w:eastAsia="es-CR"/>
            </w:rPr>
          </w:pPr>
          <w:hyperlink w:anchor="_Toc90453973" w:history="1">
            <w:r w:rsidR="007D0152" w:rsidRPr="00A0121D">
              <w:rPr>
                <w:rStyle w:val="Hipervnculo"/>
                <w:noProof/>
              </w:rPr>
              <w:t>5.</w:t>
            </w:r>
            <w:r w:rsidR="007D0152">
              <w:rPr>
                <w:rFonts w:asciiTheme="minorHAnsi" w:eastAsiaTheme="minorEastAsia" w:hAnsiTheme="minorHAnsi"/>
                <w:noProof/>
                <w:sz w:val="22"/>
                <w:lang w:val="es-CR" w:eastAsia="es-CR"/>
              </w:rPr>
              <w:tab/>
            </w:r>
            <w:r w:rsidR="007D0152" w:rsidRPr="00A0121D">
              <w:rPr>
                <w:rStyle w:val="Hipervnculo"/>
                <w:noProof/>
              </w:rPr>
              <w:t>Recommendations for Action for the EU and European Stakeholders</w:t>
            </w:r>
            <w:r w:rsidR="007D0152">
              <w:rPr>
                <w:noProof/>
                <w:webHidden/>
              </w:rPr>
              <w:tab/>
            </w:r>
            <w:r w:rsidR="007D0152">
              <w:rPr>
                <w:noProof/>
                <w:webHidden/>
              </w:rPr>
              <w:fldChar w:fldCharType="begin"/>
            </w:r>
            <w:r w:rsidR="007D0152">
              <w:rPr>
                <w:noProof/>
                <w:webHidden/>
              </w:rPr>
              <w:instrText xml:space="preserve"> PAGEREF _Toc90453973 \h </w:instrText>
            </w:r>
            <w:r w:rsidR="007D0152">
              <w:rPr>
                <w:noProof/>
                <w:webHidden/>
              </w:rPr>
            </w:r>
            <w:r w:rsidR="007D0152">
              <w:rPr>
                <w:noProof/>
                <w:webHidden/>
              </w:rPr>
              <w:fldChar w:fldCharType="separate"/>
            </w:r>
            <w:r w:rsidR="007D0152">
              <w:rPr>
                <w:noProof/>
                <w:webHidden/>
              </w:rPr>
              <w:t>37</w:t>
            </w:r>
            <w:r w:rsidR="007D0152">
              <w:rPr>
                <w:noProof/>
                <w:webHidden/>
              </w:rPr>
              <w:fldChar w:fldCharType="end"/>
            </w:r>
          </w:hyperlink>
        </w:p>
        <w:p w14:paraId="045831A4" w14:textId="37863C28" w:rsidR="007D0152" w:rsidRDefault="00C25E2C">
          <w:pPr>
            <w:pStyle w:val="TDC2"/>
            <w:rPr>
              <w:rFonts w:asciiTheme="minorHAnsi" w:eastAsiaTheme="minorEastAsia" w:hAnsiTheme="minorHAnsi"/>
              <w:noProof/>
              <w:sz w:val="22"/>
              <w:lang w:val="es-CR" w:eastAsia="es-CR"/>
            </w:rPr>
          </w:pPr>
          <w:hyperlink w:anchor="_Toc90453974" w:history="1">
            <w:r w:rsidR="007D0152" w:rsidRPr="00A0121D">
              <w:rPr>
                <w:rStyle w:val="Hipervnculo"/>
                <w:noProof/>
              </w:rPr>
              <w:t>5.1.</w:t>
            </w:r>
            <w:r w:rsidR="007D0152">
              <w:rPr>
                <w:rFonts w:asciiTheme="minorHAnsi" w:eastAsiaTheme="minorEastAsia" w:hAnsiTheme="minorHAnsi"/>
                <w:noProof/>
                <w:sz w:val="22"/>
                <w:lang w:val="es-CR" w:eastAsia="es-CR"/>
              </w:rPr>
              <w:tab/>
            </w:r>
            <w:r w:rsidR="007D0152" w:rsidRPr="00A0121D">
              <w:rPr>
                <w:rStyle w:val="Hipervnculo"/>
                <w:noProof/>
              </w:rPr>
              <w:t>European Green Deal and Paris Agreement</w:t>
            </w:r>
            <w:r w:rsidR="007D0152">
              <w:rPr>
                <w:noProof/>
                <w:webHidden/>
              </w:rPr>
              <w:tab/>
            </w:r>
            <w:r w:rsidR="007D0152">
              <w:rPr>
                <w:noProof/>
                <w:webHidden/>
              </w:rPr>
              <w:fldChar w:fldCharType="begin"/>
            </w:r>
            <w:r w:rsidR="007D0152">
              <w:rPr>
                <w:noProof/>
                <w:webHidden/>
              </w:rPr>
              <w:instrText xml:space="preserve"> PAGEREF _Toc90453974 \h </w:instrText>
            </w:r>
            <w:r w:rsidR="007D0152">
              <w:rPr>
                <w:noProof/>
                <w:webHidden/>
              </w:rPr>
            </w:r>
            <w:r w:rsidR="007D0152">
              <w:rPr>
                <w:noProof/>
                <w:webHidden/>
              </w:rPr>
              <w:fldChar w:fldCharType="separate"/>
            </w:r>
            <w:r w:rsidR="007D0152">
              <w:rPr>
                <w:noProof/>
                <w:webHidden/>
              </w:rPr>
              <w:t>37</w:t>
            </w:r>
            <w:r w:rsidR="007D0152">
              <w:rPr>
                <w:noProof/>
                <w:webHidden/>
              </w:rPr>
              <w:fldChar w:fldCharType="end"/>
            </w:r>
          </w:hyperlink>
        </w:p>
        <w:p w14:paraId="4675261D" w14:textId="2169C5F7" w:rsidR="007D0152" w:rsidRDefault="00C25E2C">
          <w:pPr>
            <w:pStyle w:val="TDC2"/>
            <w:rPr>
              <w:rFonts w:asciiTheme="minorHAnsi" w:eastAsiaTheme="minorEastAsia" w:hAnsiTheme="minorHAnsi"/>
              <w:noProof/>
              <w:sz w:val="22"/>
              <w:lang w:val="es-CR" w:eastAsia="es-CR"/>
            </w:rPr>
          </w:pPr>
          <w:hyperlink w:anchor="_Toc90453975" w:history="1">
            <w:r w:rsidR="007D0152" w:rsidRPr="00A0121D">
              <w:rPr>
                <w:rStyle w:val="Hipervnculo"/>
                <w:noProof/>
              </w:rPr>
              <w:t>5.2.</w:t>
            </w:r>
            <w:r w:rsidR="007D0152">
              <w:rPr>
                <w:rFonts w:asciiTheme="minorHAnsi" w:eastAsiaTheme="minorEastAsia" w:hAnsiTheme="minorHAnsi"/>
                <w:noProof/>
                <w:sz w:val="22"/>
                <w:lang w:val="es-CR" w:eastAsia="es-CR"/>
              </w:rPr>
              <w:tab/>
            </w:r>
            <w:r w:rsidR="007D0152" w:rsidRPr="00A0121D">
              <w:rPr>
                <w:rStyle w:val="Hipervnculo"/>
                <w:noProof/>
              </w:rPr>
              <w:t>Desired policy and regulatory changes</w:t>
            </w:r>
            <w:r w:rsidR="007D0152">
              <w:rPr>
                <w:noProof/>
                <w:webHidden/>
              </w:rPr>
              <w:tab/>
            </w:r>
            <w:r w:rsidR="007D0152">
              <w:rPr>
                <w:noProof/>
                <w:webHidden/>
              </w:rPr>
              <w:fldChar w:fldCharType="begin"/>
            </w:r>
            <w:r w:rsidR="007D0152">
              <w:rPr>
                <w:noProof/>
                <w:webHidden/>
              </w:rPr>
              <w:instrText xml:space="preserve"> PAGEREF _Toc90453975 \h </w:instrText>
            </w:r>
            <w:r w:rsidR="007D0152">
              <w:rPr>
                <w:noProof/>
                <w:webHidden/>
              </w:rPr>
            </w:r>
            <w:r w:rsidR="007D0152">
              <w:rPr>
                <w:noProof/>
                <w:webHidden/>
              </w:rPr>
              <w:fldChar w:fldCharType="separate"/>
            </w:r>
            <w:r w:rsidR="007D0152">
              <w:rPr>
                <w:noProof/>
                <w:webHidden/>
              </w:rPr>
              <w:t>39</w:t>
            </w:r>
            <w:r w:rsidR="007D0152">
              <w:rPr>
                <w:noProof/>
                <w:webHidden/>
              </w:rPr>
              <w:fldChar w:fldCharType="end"/>
            </w:r>
          </w:hyperlink>
        </w:p>
        <w:p w14:paraId="1743EF98" w14:textId="02A5191F" w:rsidR="007D0152" w:rsidRDefault="00C25E2C">
          <w:pPr>
            <w:pStyle w:val="TDC2"/>
            <w:rPr>
              <w:rFonts w:asciiTheme="minorHAnsi" w:eastAsiaTheme="minorEastAsia" w:hAnsiTheme="minorHAnsi"/>
              <w:noProof/>
              <w:sz w:val="22"/>
              <w:lang w:val="es-CR" w:eastAsia="es-CR"/>
            </w:rPr>
          </w:pPr>
          <w:hyperlink w:anchor="_Toc90453976" w:history="1">
            <w:r w:rsidR="007D0152" w:rsidRPr="00A0121D">
              <w:rPr>
                <w:rStyle w:val="Hipervnculo"/>
                <w:noProof/>
              </w:rPr>
              <w:t>5.3.</w:t>
            </w:r>
            <w:r w:rsidR="007D0152">
              <w:rPr>
                <w:rFonts w:asciiTheme="minorHAnsi" w:eastAsiaTheme="minorEastAsia" w:hAnsiTheme="minorHAnsi"/>
                <w:noProof/>
                <w:sz w:val="22"/>
                <w:lang w:val="es-CR" w:eastAsia="es-CR"/>
              </w:rPr>
              <w:tab/>
            </w:r>
            <w:r w:rsidR="007D0152" w:rsidRPr="00A0121D">
              <w:rPr>
                <w:rStyle w:val="Hipervnculo"/>
                <w:noProof/>
              </w:rPr>
              <w:t>Gap analysis of technology transfer and capital investment</w:t>
            </w:r>
            <w:r w:rsidR="007D0152">
              <w:rPr>
                <w:noProof/>
                <w:webHidden/>
              </w:rPr>
              <w:tab/>
            </w:r>
            <w:r w:rsidR="007D0152">
              <w:rPr>
                <w:noProof/>
                <w:webHidden/>
              </w:rPr>
              <w:fldChar w:fldCharType="begin"/>
            </w:r>
            <w:r w:rsidR="007D0152">
              <w:rPr>
                <w:noProof/>
                <w:webHidden/>
              </w:rPr>
              <w:instrText xml:space="preserve"> PAGEREF _Toc90453976 \h </w:instrText>
            </w:r>
            <w:r w:rsidR="007D0152">
              <w:rPr>
                <w:noProof/>
                <w:webHidden/>
              </w:rPr>
            </w:r>
            <w:r w:rsidR="007D0152">
              <w:rPr>
                <w:noProof/>
                <w:webHidden/>
              </w:rPr>
              <w:fldChar w:fldCharType="separate"/>
            </w:r>
            <w:r w:rsidR="007D0152">
              <w:rPr>
                <w:noProof/>
                <w:webHidden/>
              </w:rPr>
              <w:t>40</w:t>
            </w:r>
            <w:r w:rsidR="007D0152">
              <w:rPr>
                <w:noProof/>
                <w:webHidden/>
              </w:rPr>
              <w:fldChar w:fldCharType="end"/>
            </w:r>
          </w:hyperlink>
        </w:p>
        <w:p w14:paraId="244B5185" w14:textId="40346F4E" w:rsidR="007D0152" w:rsidRDefault="00C25E2C">
          <w:pPr>
            <w:pStyle w:val="TDC2"/>
            <w:rPr>
              <w:rFonts w:asciiTheme="minorHAnsi" w:eastAsiaTheme="minorEastAsia" w:hAnsiTheme="minorHAnsi"/>
              <w:noProof/>
              <w:sz w:val="22"/>
              <w:lang w:val="es-CR" w:eastAsia="es-CR"/>
            </w:rPr>
          </w:pPr>
          <w:hyperlink w:anchor="_Toc90453977" w:history="1">
            <w:r w:rsidR="007D0152" w:rsidRPr="00A0121D">
              <w:rPr>
                <w:rStyle w:val="Hipervnculo"/>
                <w:noProof/>
              </w:rPr>
              <w:t>5.4.</w:t>
            </w:r>
            <w:r w:rsidR="007D0152">
              <w:rPr>
                <w:rFonts w:asciiTheme="minorHAnsi" w:eastAsiaTheme="minorEastAsia" w:hAnsiTheme="minorHAnsi"/>
                <w:noProof/>
                <w:sz w:val="22"/>
                <w:lang w:val="es-CR" w:eastAsia="es-CR"/>
              </w:rPr>
              <w:tab/>
            </w:r>
            <w:r w:rsidR="007D0152" w:rsidRPr="00A0121D">
              <w:rPr>
                <w:rStyle w:val="Hipervnculo"/>
                <w:noProof/>
              </w:rPr>
              <w:t>Recommendations on financial mechanisms to invest in RE market niches</w:t>
            </w:r>
            <w:r w:rsidR="007D0152">
              <w:rPr>
                <w:noProof/>
                <w:webHidden/>
              </w:rPr>
              <w:tab/>
            </w:r>
            <w:r w:rsidR="007D0152">
              <w:rPr>
                <w:noProof/>
                <w:webHidden/>
              </w:rPr>
              <w:fldChar w:fldCharType="begin"/>
            </w:r>
            <w:r w:rsidR="007D0152">
              <w:rPr>
                <w:noProof/>
                <w:webHidden/>
              </w:rPr>
              <w:instrText xml:space="preserve"> PAGEREF _Toc90453977 \h </w:instrText>
            </w:r>
            <w:r w:rsidR="007D0152">
              <w:rPr>
                <w:noProof/>
                <w:webHidden/>
              </w:rPr>
            </w:r>
            <w:r w:rsidR="007D0152">
              <w:rPr>
                <w:noProof/>
                <w:webHidden/>
              </w:rPr>
              <w:fldChar w:fldCharType="separate"/>
            </w:r>
            <w:r w:rsidR="007D0152">
              <w:rPr>
                <w:noProof/>
                <w:webHidden/>
              </w:rPr>
              <w:t>43</w:t>
            </w:r>
            <w:r w:rsidR="007D0152">
              <w:rPr>
                <w:noProof/>
                <w:webHidden/>
              </w:rPr>
              <w:fldChar w:fldCharType="end"/>
            </w:r>
          </w:hyperlink>
        </w:p>
        <w:p w14:paraId="788310BD" w14:textId="0F30C1DD" w:rsidR="007D0152" w:rsidRDefault="00C25E2C">
          <w:pPr>
            <w:pStyle w:val="TDC1"/>
            <w:rPr>
              <w:rFonts w:asciiTheme="minorHAnsi" w:eastAsiaTheme="minorEastAsia" w:hAnsiTheme="minorHAnsi"/>
              <w:noProof/>
              <w:sz w:val="22"/>
              <w:lang w:val="es-CR" w:eastAsia="es-CR"/>
            </w:rPr>
          </w:pPr>
          <w:hyperlink w:anchor="_Toc90453978" w:history="1">
            <w:r w:rsidR="007D0152" w:rsidRPr="00A0121D">
              <w:rPr>
                <w:rStyle w:val="Hipervnculo"/>
                <w:noProof/>
              </w:rPr>
              <w:t>6.</w:t>
            </w:r>
            <w:r w:rsidR="007D0152">
              <w:rPr>
                <w:rFonts w:asciiTheme="minorHAnsi" w:eastAsiaTheme="minorEastAsia" w:hAnsiTheme="minorHAnsi"/>
                <w:noProof/>
                <w:sz w:val="22"/>
                <w:lang w:val="es-CR" w:eastAsia="es-CR"/>
              </w:rPr>
              <w:tab/>
            </w:r>
            <w:r w:rsidR="007D0152" w:rsidRPr="00A0121D">
              <w:rPr>
                <w:rStyle w:val="Hipervnculo"/>
                <w:noProof/>
              </w:rPr>
              <w:t>Annexes</w:t>
            </w:r>
            <w:r w:rsidR="007D0152">
              <w:rPr>
                <w:noProof/>
                <w:webHidden/>
              </w:rPr>
              <w:tab/>
            </w:r>
            <w:r w:rsidR="007D0152">
              <w:rPr>
                <w:noProof/>
                <w:webHidden/>
              </w:rPr>
              <w:fldChar w:fldCharType="begin"/>
            </w:r>
            <w:r w:rsidR="007D0152">
              <w:rPr>
                <w:noProof/>
                <w:webHidden/>
              </w:rPr>
              <w:instrText xml:space="preserve"> PAGEREF _Toc90453978 \h </w:instrText>
            </w:r>
            <w:r w:rsidR="007D0152">
              <w:rPr>
                <w:noProof/>
                <w:webHidden/>
              </w:rPr>
            </w:r>
            <w:r w:rsidR="007D0152">
              <w:rPr>
                <w:noProof/>
                <w:webHidden/>
              </w:rPr>
              <w:fldChar w:fldCharType="separate"/>
            </w:r>
            <w:r w:rsidR="007D0152">
              <w:rPr>
                <w:noProof/>
                <w:webHidden/>
              </w:rPr>
              <w:t>45</w:t>
            </w:r>
            <w:r w:rsidR="007D0152">
              <w:rPr>
                <w:noProof/>
                <w:webHidden/>
              </w:rPr>
              <w:fldChar w:fldCharType="end"/>
            </w:r>
          </w:hyperlink>
        </w:p>
        <w:p w14:paraId="5726100E" w14:textId="11714474" w:rsidR="007D0152" w:rsidRDefault="00C25E2C">
          <w:pPr>
            <w:pStyle w:val="TDC2"/>
            <w:rPr>
              <w:rFonts w:asciiTheme="minorHAnsi" w:eastAsiaTheme="minorEastAsia" w:hAnsiTheme="minorHAnsi"/>
              <w:noProof/>
              <w:sz w:val="22"/>
              <w:lang w:val="es-CR" w:eastAsia="es-CR"/>
            </w:rPr>
          </w:pPr>
          <w:hyperlink w:anchor="_Toc90453979" w:history="1">
            <w:r w:rsidR="007D0152" w:rsidRPr="00A0121D">
              <w:rPr>
                <w:rStyle w:val="Hipervnculo"/>
                <w:noProof/>
              </w:rPr>
              <w:t>6.1.</w:t>
            </w:r>
            <w:r w:rsidR="007D0152">
              <w:rPr>
                <w:rFonts w:asciiTheme="minorHAnsi" w:eastAsiaTheme="minorEastAsia" w:hAnsiTheme="minorHAnsi"/>
                <w:noProof/>
                <w:sz w:val="22"/>
                <w:lang w:val="es-CR" w:eastAsia="es-CR"/>
              </w:rPr>
              <w:tab/>
            </w:r>
            <w:r w:rsidR="007D0152" w:rsidRPr="00A0121D">
              <w:rPr>
                <w:rStyle w:val="Hipervnculo"/>
                <w:noProof/>
              </w:rPr>
              <w:t>Annex 1. Historical installed capacity per country</w:t>
            </w:r>
            <w:r w:rsidR="007D0152">
              <w:rPr>
                <w:noProof/>
                <w:webHidden/>
              </w:rPr>
              <w:tab/>
            </w:r>
            <w:r w:rsidR="007D0152">
              <w:rPr>
                <w:noProof/>
                <w:webHidden/>
              </w:rPr>
              <w:fldChar w:fldCharType="begin"/>
            </w:r>
            <w:r w:rsidR="007D0152">
              <w:rPr>
                <w:noProof/>
                <w:webHidden/>
              </w:rPr>
              <w:instrText xml:space="preserve"> PAGEREF _Toc90453979 \h </w:instrText>
            </w:r>
            <w:r w:rsidR="007D0152">
              <w:rPr>
                <w:noProof/>
                <w:webHidden/>
              </w:rPr>
            </w:r>
            <w:r w:rsidR="007D0152">
              <w:rPr>
                <w:noProof/>
                <w:webHidden/>
              </w:rPr>
              <w:fldChar w:fldCharType="separate"/>
            </w:r>
            <w:r w:rsidR="007D0152">
              <w:rPr>
                <w:noProof/>
                <w:webHidden/>
              </w:rPr>
              <w:t>45</w:t>
            </w:r>
            <w:r w:rsidR="007D0152">
              <w:rPr>
                <w:noProof/>
                <w:webHidden/>
              </w:rPr>
              <w:fldChar w:fldCharType="end"/>
            </w:r>
          </w:hyperlink>
        </w:p>
        <w:p w14:paraId="6A42CA6A" w14:textId="59928A0B" w:rsidR="007D0152" w:rsidRDefault="00C25E2C">
          <w:pPr>
            <w:pStyle w:val="TDC2"/>
            <w:rPr>
              <w:rFonts w:asciiTheme="minorHAnsi" w:eastAsiaTheme="minorEastAsia" w:hAnsiTheme="minorHAnsi"/>
              <w:noProof/>
              <w:sz w:val="22"/>
              <w:lang w:val="es-CR" w:eastAsia="es-CR"/>
            </w:rPr>
          </w:pPr>
          <w:hyperlink w:anchor="_Toc90453980" w:history="1">
            <w:r w:rsidR="007D0152" w:rsidRPr="00A0121D">
              <w:rPr>
                <w:rStyle w:val="Hipervnculo"/>
                <w:noProof/>
              </w:rPr>
              <w:t>6.2.</w:t>
            </w:r>
            <w:r w:rsidR="007D0152">
              <w:rPr>
                <w:rFonts w:asciiTheme="minorHAnsi" w:eastAsiaTheme="minorEastAsia" w:hAnsiTheme="minorHAnsi"/>
                <w:noProof/>
                <w:sz w:val="22"/>
                <w:lang w:val="es-CR" w:eastAsia="es-CR"/>
              </w:rPr>
              <w:tab/>
            </w:r>
            <w:r w:rsidR="007D0152" w:rsidRPr="00A0121D">
              <w:rPr>
                <w:rStyle w:val="Hipervnculo"/>
                <w:noProof/>
              </w:rPr>
              <w:t>Annex 2. List of stakeholders interviewed</w:t>
            </w:r>
            <w:r w:rsidR="007D0152">
              <w:rPr>
                <w:noProof/>
                <w:webHidden/>
              </w:rPr>
              <w:tab/>
            </w:r>
            <w:r w:rsidR="007D0152">
              <w:rPr>
                <w:noProof/>
                <w:webHidden/>
              </w:rPr>
              <w:fldChar w:fldCharType="begin"/>
            </w:r>
            <w:r w:rsidR="007D0152">
              <w:rPr>
                <w:noProof/>
                <w:webHidden/>
              </w:rPr>
              <w:instrText xml:space="preserve"> PAGEREF _Toc90453980 \h </w:instrText>
            </w:r>
            <w:r w:rsidR="007D0152">
              <w:rPr>
                <w:noProof/>
                <w:webHidden/>
              </w:rPr>
            </w:r>
            <w:r w:rsidR="007D0152">
              <w:rPr>
                <w:noProof/>
                <w:webHidden/>
              </w:rPr>
              <w:fldChar w:fldCharType="separate"/>
            </w:r>
            <w:r w:rsidR="007D0152">
              <w:rPr>
                <w:noProof/>
                <w:webHidden/>
              </w:rPr>
              <w:t>46</w:t>
            </w:r>
            <w:r w:rsidR="007D0152">
              <w:rPr>
                <w:noProof/>
                <w:webHidden/>
              </w:rPr>
              <w:fldChar w:fldCharType="end"/>
            </w:r>
          </w:hyperlink>
        </w:p>
        <w:p w14:paraId="1F5C42D7" w14:textId="77E084AA" w:rsidR="007D0152" w:rsidRDefault="00C25E2C">
          <w:pPr>
            <w:pStyle w:val="TDC2"/>
            <w:rPr>
              <w:rFonts w:asciiTheme="minorHAnsi" w:eastAsiaTheme="minorEastAsia" w:hAnsiTheme="minorHAnsi"/>
              <w:noProof/>
              <w:sz w:val="22"/>
              <w:lang w:val="es-CR" w:eastAsia="es-CR"/>
            </w:rPr>
          </w:pPr>
          <w:hyperlink w:anchor="_Toc90453981" w:history="1">
            <w:r w:rsidR="007D0152" w:rsidRPr="00A0121D">
              <w:rPr>
                <w:rStyle w:val="Hipervnculo"/>
                <w:noProof/>
              </w:rPr>
              <w:t>6.3.</w:t>
            </w:r>
            <w:r w:rsidR="007D0152">
              <w:rPr>
                <w:rFonts w:asciiTheme="minorHAnsi" w:eastAsiaTheme="minorEastAsia" w:hAnsiTheme="minorHAnsi"/>
                <w:noProof/>
                <w:sz w:val="22"/>
                <w:lang w:val="es-CR" w:eastAsia="es-CR"/>
              </w:rPr>
              <w:tab/>
            </w:r>
            <w:r w:rsidR="007D0152" w:rsidRPr="00A0121D">
              <w:rPr>
                <w:rStyle w:val="Hipervnculo"/>
                <w:noProof/>
              </w:rPr>
              <w:t>Annex 3. NDC’s of Central American countries</w:t>
            </w:r>
            <w:r w:rsidR="007D0152">
              <w:rPr>
                <w:noProof/>
                <w:webHidden/>
              </w:rPr>
              <w:tab/>
            </w:r>
            <w:r w:rsidR="007D0152">
              <w:rPr>
                <w:noProof/>
                <w:webHidden/>
              </w:rPr>
              <w:fldChar w:fldCharType="begin"/>
            </w:r>
            <w:r w:rsidR="007D0152">
              <w:rPr>
                <w:noProof/>
                <w:webHidden/>
              </w:rPr>
              <w:instrText xml:space="preserve"> PAGEREF _Toc90453981 \h </w:instrText>
            </w:r>
            <w:r w:rsidR="007D0152">
              <w:rPr>
                <w:noProof/>
                <w:webHidden/>
              </w:rPr>
            </w:r>
            <w:r w:rsidR="007D0152">
              <w:rPr>
                <w:noProof/>
                <w:webHidden/>
              </w:rPr>
              <w:fldChar w:fldCharType="separate"/>
            </w:r>
            <w:r w:rsidR="007D0152">
              <w:rPr>
                <w:noProof/>
                <w:webHidden/>
              </w:rPr>
              <w:t>47</w:t>
            </w:r>
            <w:r w:rsidR="007D0152">
              <w:rPr>
                <w:noProof/>
                <w:webHidden/>
              </w:rPr>
              <w:fldChar w:fldCharType="end"/>
            </w:r>
          </w:hyperlink>
        </w:p>
        <w:p w14:paraId="317CEF06" w14:textId="3F7F7A9D" w:rsidR="007D0152" w:rsidRDefault="00C25E2C">
          <w:pPr>
            <w:pStyle w:val="TDC2"/>
            <w:rPr>
              <w:rFonts w:asciiTheme="minorHAnsi" w:eastAsiaTheme="minorEastAsia" w:hAnsiTheme="minorHAnsi"/>
              <w:noProof/>
              <w:sz w:val="22"/>
              <w:lang w:val="es-CR" w:eastAsia="es-CR"/>
            </w:rPr>
          </w:pPr>
          <w:hyperlink w:anchor="_Toc90453982" w:history="1">
            <w:r w:rsidR="007D0152" w:rsidRPr="00A0121D">
              <w:rPr>
                <w:rStyle w:val="Hipervnculo"/>
                <w:noProof/>
              </w:rPr>
              <w:t>6.4.</w:t>
            </w:r>
            <w:r w:rsidR="007D0152">
              <w:rPr>
                <w:rFonts w:asciiTheme="minorHAnsi" w:eastAsiaTheme="minorEastAsia" w:hAnsiTheme="minorHAnsi"/>
                <w:noProof/>
                <w:sz w:val="22"/>
                <w:lang w:val="es-CR" w:eastAsia="es-CR"/>
              </w:rPr>
              <w:tab/>
            </w:r>
            <w:r w:rsidR="007D0152" w:rsidRPr="00A0121D">
              <w:rPr>
                <w:rStyle w:val="Hipervnculo"/>
                <w:noProof/>
              </w:rPr>
              <w:t>Annex 4. Additional regulatory and technical barriers identified for each country</w:t>
            </w:r>
            <w:r w:rsidR="007D0152">
              <w:rPr>
                <w:noProof/>
                <w:webHidden/>
              </w:rPr>
              <w:tab/>
            </w:r>
            <w:r w:rsidR="007D0152">
              <w:rPr>
                <w:noProof/>
                <w:webHidden/>
              </w:rPr>
              <w:fldChar w:fldCharType="begin"/>
            </w:r>
            <w:r w:rsidR="007D0152">
              <w:rPr>
                <w:noProof/>
                <w:webHidden/>
              </w:rPr>
              <w:instrText xml:space="preserve"> PAGEREF _Toc90453982 \h </w:instrText>
            </w:r>
            <w:r w:rsidR="007D0152">
              <w:rPr>
                <w:noProof/>
                <w:webHidden/>
              </w:rPr>
            </w:r>
            <w:r w:rsidR="007D0152">
              <w:rPr>
                <w:noProof/>
                <w:webHidden/>
              </w:rPr>
              <w:fldChar w:fldCharType="separate"/>
            </w:r>
            <w:r w:rsidR="007D0152">
              <w:rPr>
                <w:noProof/>
                <w:webHidden/>
              </w:rPr>
              <w:t>50</w:t>
            </w:r>
            <w:r w:rsidR="007D0152">
              <w:rPr>
                <w:noProof/>
                <w:webHidden/>
              </w:rPr>
              <w:fldChar w:fldCharType="end"/>
            </w:r>
          </w:hyperlink>
        </w:p>
        <w:p w14:paraId="671F0B80" w14:textId="20EA8682" w:rsidR="00A969AC" w:rsidRPr="00472B84" w:rsidRDefault="00A969AC" w:rsidP="00336136">
          <w:pPr>
            <w:spacing w:line="240" w:lineRule="auto"/>
            <w:rPr>
              <w:szCs w:val="20"/>
            </w:rPr>
          </w:pPr>
          <w:r w:rsidRPr="00472B84">
            <w:rPr>
              <w:b/>
              <w:bCs/>
              <w:noProof/>
              <w:szCs w:val="20"/>
            </w:rPr>
            <w:fldChar w:fldCharType="end"/>
          </w:r>
        </w:p>
      </w:sdtContent>
    </w:sdt>
    <w:p w14:paraId="2D091C65" w14:textId="77777777" w:rsidR="00A969AC" w:rsidRPr="00472B84" w:rsidRDefault="00A969AC" w:rsidP="00336136">
      <w:pPr>
        <w:spacing w:line="240" w:lineRule="auto"/>
        <w:rPr>
          <w:color w:val="4472C4" w:themeColor="accent1"/>
          <w:sz w:val="24"/>
          <w:szCs w:val="24"/>
        </w:rPr>
      </w:pPr>
      <w:r w:rsidRPr="00472B84">
        <w:rPr>
          <w:color w:val="4472C4" w:themeColor="accent1"/>
          <w:sz w:val="24"/>
          <w:szCs w:val="24"/>
        </w:rPr>
        <w:br w:type="page"/>
      </w:r>
    </w:p>
    <w:p w14:paraId="519321F0" w14:textId="77777777" w:rsidR="000D2E4D" w:rsidRPr="00472B84" w:rsidRDefault="00983EFF" w:rsidP="00336136">
      <w:pPr>
        <w:pStyle w:val="TtuloTDC"/>
        <w:spacing w:before="0" w:after="160" w:line="240" w:lineRule="auto"/>
      </w:pPr>
      <w:r w:rsidRPr="00472B84">
        <w:lastRenderedPageBreak/>
        <w:t>Acronyms</w:t>
      </w:r>
    </w:p>
    <w:tbl>
      <w:tblPr>
        <w:tblStyle w:val="Tablaconcuadrcula1"/>
        <w:tblW w:w="524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372"/>
      </w:tblGrid>
      <w:tr w:rsidR="00CD7C2A" w:rsidRPr="00CF6841" w14:paraId="01EB7946" w14:textId="77777777" w:rsidTr="00A9512F">
        <w:tc>
          <w:tcPr>
            <w:tcW w:w="873" w:type="pct"/>
          </w:tcPr>
          <w:p w14:paraId="763E952A" w14:textId="77777777" w:rsidR="00CD7C2A" w:rsidRDefault="00CD7C2A" w:rsidP="00336136">
            <w:pPr>
              <w:spacing w:after="120"/>
              <w:rPr>
                <w:rFonts w:eastAsia="Calibri" w:cs="Arial"/>
                <w:b/>
                <w:bCs/>
                <w:sz w:val="18"/>
                <w:szCs w:val="18"/>
              </w:rPr>
            </w:pPr>
            <w:r>
              <w:rPr>
                <w:rFonts w:eastAsia="Calibri" w:cs="Arial"/>
                <w:b/>
                <w:bCs/>
                <w:sz w:val="18"/>
                <w:szCs w:val="18"/>
              </w:rPr>
              <w:t>ALIDES</w:t>
            </w:r>
          </w:p>
        </w:tc>
        <w:tc>
          <w:tcPr>
            <w:tcW w:w="4127" w:type="pct"/>
          </w:tcPr>
          <w:p w14:paraId="59ED5BE6" w14:textId="05175CA3" w:rsidR="00CD7C2A" w:rsidRPr="00CF6841" w:rsidRDefault="00CD7C2A" w:rsidP="00336136">
            <w:pPr>
              <w:spacing w:after="120"/>
              <w:rPr>
                <w:rFonts w:eastAsia="Calibri" w:cs="Arial"/>
                <w:sz w:val="18"/>
                <w:szCs w:val="18"/>
              </w:rPr>
            </w:pPr>
            <w:r w:rsidRPr="001332A4">
              <w:rPr>
                <w:rFonts w:eastAsia="Calibri" w:cs="Arial"/>
                <w:sz w:val="18"/>
                <w:szCs w:val="18"/>
              </w:rPr>
              <w:t xml:space="preserve">Alliance for Sustainable Development </w:t>
            </w:r>
          </w:p>
        </w:tc>
      </w:tr>
      <w:tr w:rsidR="00CD7C2A" w:rsidRPr="00CF6841" w14:paraId="394C1FE5" w14:textId="77777777" w:rsidTr="00A9512F">
        <w:tc>
          <w:tcPr>
            <w:tcW w:w="873" w:type="pct"/>
          </w:tcPr>
          <w:p w14:paraId="4198296D" w14:textId="77777777" w:rsidR="00CD7C2A" w:rsidRPr="001332A4" w:rsidRDefault="00CD7C2A" w:rsidP="00336136">
            <w:pPr>
              <w:spacing w:after="120"/>
              <w:rPr>
                <w:rFonts w:eastAsia="Calibri" w:cs="Arial"/>
                <w:b/>
                <w:bCs/>
                <w:sz w:val="18"/>
                <w:szCs w:val="18"/>
              </w:rPr>
            </w:pPr>
            <w:r>
              <w:rPr>
                <w:rFonts w:eastAsia="Calibri" w:cs="Arial"/>
                <w:b/>
                <w:bCs/>
                <w:sz w:val="18"/>
                <w:szCs w:val="18"/>
              </w:rPr>
              <w:t>BAU</w:t>
            </w:r>
          </w:p>
        </w:tc>
        <w:tc>
          <w:tcPr>
            <w:tcW w:w="4127" w:type="pct"/>
          </w:tcPr>
          <w:p w14:paraId="057A20E2" w14:textId="77777777" w:rsidR="00CD7C2A" w:rsidRPr="00CF6841" w:rsidRDefault="00CD7C2A" w:rsidP="00336136">
            <w:pPr>
              <w:spacing w:after="120"/>
              <w:rPr>
                <w:rFonts w:eastAsia="Calibri" w:cs="Arial"/>
                <w:sz w:val="18"/>
                <w:szCs w:val="18"/>
              </w:rPr>
            </w:pPr>
            <w:r w:rsidRPr="001332A4">
              <w:rPr>
                <w:rFonts w:eastAsia="Calibri" w:cs="Arial"/>
                <w:sz w:val="18"/>
                <w:szCs w:val="18"/>
              </w:rPr>
              <w:t xml:space="preserve">Business as </w:t>
            </w:r>
            <w:r>
              <w:rPr>
                <w:rFonts w:eastAsia="Calibri" w:cs="Arial"/>
                <w:sz w:val="18"/>
                <w:szCs w:val="18"/>
              </w:rPr>
              <w:t>u</w:t>
            </w:r>
            <w:r w:rsidRPr="001332A4">
              <w:rPr>
                <w:rFonts w:eastAsia="Calibri" w:cs="Arial"/>
                <w:sz w:val="18"/>
                <w:szCs w:val="18"/>
              </w:rPr>
              <w:t>sual</w:t>
            </w:r>
          </w:p>
        </w:tc>
      </w:tr>
      <w:tr w:rsidR="00CD7C2A" w:rsidRPr="00CF6841" w14:paraId="3E07E3A3" w14:textId="77777777" w:rsidTr="00A9512F">
        <w:tc>
          <w:tcPr>
            <w:tcW w:w="873" w:type="pct"/>
          </w:tcPr>
          <w:p w14:paraId="38706AF6" w14:textId="77777777" w:rsidR="00CD7C2A" w:rsidRPr="00CF6841" w:rsidRDefault="00CD7C2A" w:rsidP="00336136">
            <w:pPr>
              <w:spacing w:after="120"/>
              <w:rPr>
                <w:rFonts w:eastAsia="Calibri" w:cs="Arial"/>
                <w:b/>
                <w:bCs/>
                <w:sz w:val="18"/>
                <w:szCs w:val="18"/>
                <w:highlight w:val="yellow"/>
              </w:rPr>
            </w:pPr>
            <w:r w:rsidRPr="001332A4">
              <w:rPr>
                <w:rFonts w:eastAsia="Calibri" w:cs="Arial"/>
                <w:b/>
                <w:bCs/>
                <w:sz w:val="18"/>
                <w:szCs w:val="18"/>
              </w:rPr>
              <w:t>CA</w:t>
            </w:r>
          </w:p>
        </w:tc>
        <w:tc>
          <w:tcPr>
            <w:tcW w:w="4127" w:type="pct"/>
          </w:tcPr>
          <w:p w14:paraId="4BC41FE1" w14:textId="77777777" w:rsidR="00CD7C2A" w:rsidRPr="00CF6841" w:rsidRDefault="00CD7C2A" w:rsidP="00336136">
            <w:pPr>
              <w:spacing w:after="120"/>
              <w:rPr>
                <w:rFonts w:eastAsia="Calibri" w:cs="Arial"/>
                <w:sz w:val="18"/>
                <w:szCs w:val="18"/>
              </w:rPr>
            </w:pPr>
            <w:r>
              <w:rPr>
                <w:rFonts w:eastAsia="Calibri" w:cs="Arial"/>
                <w:sz w:val="18"/>
                <w:szCs w:val="18"/>
              </w:rPr>
              <w:t>Central America</w:t>
            </w:r>
          </w:p>
        </w:tc>
      </w:tr>
      <w:tr w:rsidR="00803A37" w:rsidRPr="00CF6841" w14:paraId="219553F3" w14:textId="77777777" w:rsidTr="00A9512F">
        <w:tc>
          <w:tcPr>
            <w:tcW w:w="873" w:type="pct"/>
          </w:tcPr>
          <w:p w14:paraId="07CAD32E" w14:textId="5D669D52" w:rsidR="00803A37" w:rsidRPr="001332A4" w:rsidRDefault="00803A37" w:rsidP="00336136">
            <w:pPr>
              <w:spacing w:after="120"/>
              <w:rPr>
                <w:rFonts w:eastAsia="Calibri" w:cs="Arial"/>
                <w:b/>
                <w:bCs/>
                <w:sz w:val="18"/>
                <w:szCs w:val="18"/>
              </w:rPr>
            </w:pPr>
            <w:r>
              <w:rPr>
                <w:rFonts w:eastAsia="Calibri" w:cs="Arial"/>
                <w:b/>
                <w:bCs/>
                <w:sz w:val="18"/>
                <w:szCs w:val="18"/>
              </w:rPr>
              <w:t>CAIT</w:t>
            </w:r>
          </w:p>
        </w:tc>
        <w:tc>
          <w:tcPr>
            <w:tcW w:w="4127" w:type="pct"/>
          </w:tcPr>
          <w:p w14:paraId="0B14372C" w14:textId="2E267220" w:rsidR="00803A37" w:rsidRDefault="00803A37" w:rsidP="00336136">
            <w:pPr>
              <w:spacing w:after="120"/>
              <w:rPr>
                <w:rFonts w:eastAsia="Calibri" w:cs="Arial"/>
                <w:sz w:val="18"/>
                <w:szCs w:val="18"/>
              </w:rPr>
            </w:pPr>
            <w:r w:rsidRPr="00803A37">
              <w:rPr>
                <w:rFonts w:eastAsia="Calibri" w:cs="Arial"/>
                <w:sz w:val="18"/>
                <w:szCs w:val="18"/>
              </w:rPr>
              <w:t>Climate Analysis Indicators Tool</w:t>
            </w:r>
          </w:p>
        </w:tc>
      </w:tr>
      <w:tr w:rsidR="00CD7C2A" w:rsidRPr="00CF6841" w14:paraId="674EFB3F" w14:textId="77777777" w:rsidTr="00A9512F">
        <w:tc>
          <w:tcPr>
            <w:tcW w:w="873" w:type="pct"/>
          </w:tcPr>
          <w:p w14:paraId="4FB4C971" w14:textId="77777777" w:rsidR="00CD7C2A" w:rsidRPr="00966AA3" w:rsidRDefault="00CD7C2A" w:rsidP="00336136">
            <w:pPr>
              <w:spacing w:after="120"/>
              <w:rPr>
                <w:rFonts w:eastAsia="Calibri" w:cs="Arial"/>
                <w:b/>
                <w:bCs/>
                <w:sz w:val="18"/>
                <w:szCs w:val="18"/>
              </w:rPr>
            </w:pPr>
            <w:r>
              <w:rPr>
                <w:rFonts w:eastAsia="Calibri" w:cs="Arial"/>
                <w:b/>
                <w:bCs/>
                <w:sz w:val="18"/>
                <w:szCs w:val="18"/>
              </w:rPr>
              <w:t>CDMER</w:t>
            </w:r>
          </w:p>
        </w:tc>
        <w:tc>
          <w:tcPr>
            <w:tcW w:w="4127" w:type="pct"/>
          </w:tcPr>
          <w:p w14:paraId="65A0DD19" w14:textId="77777777" w:rsidR="00CD7C2A" w:rsidRPr="00CF6841" w:rsidRDefault="00CD7C2A" w:rsidP="00336136">
            <w:pPr>
              <w:spacing w:after="120"/>
              <w:rPr>
                <w:rFonts w:eastAsia="Calibri" w:cs="Arial"/>
                <w:sz w:val="18"/>
                <w:szCs w:val="18"/>
              </w:rPr>
            </w:pPr>
            <w:r w:rsidRPr="00966AA3">
              <w:rPr>
                <w:rFonts w:eastAsia="Calibri" w:cs="Arial"/>
                <w:sz w:val="18"/>
                <w:szCs w:val="18"/>
              </w:rPr>
              <w:t>MER’s Steering Committee</w:t>
            </w:r>
          </w:p>
        </w:tc>
      </w:tr>
      <w:tr w:rsidR="00CD7C2A" w:rsidRPr="00CF6841" w14:paraId="1B7DE9BF" w14:textId="77777777" w:rsidTr="00A9512F">
        <w:tc>
          <w:tcPr>
            <w:tcW w:w="873" w:type="pct"/>
          </w:tcPr>
          <w:p w14:paraId="5C0980B1" w14:textId="77777777" w:rsidR="00CD7C2A" w:rsidRDefault="00CD7C2A" w:rsidP="00336136">
            <w:pPr>
              <w:spacing w:after="120"/>
              <w:rPr>
                <w:rFonts w:eastAsia="Calibri" w:cs="Arial"/>
                <w:b/>
                <w:bCs/>
                <w:sz w:val="18"/>
                <w:szCs w:val="18"/>
              </w:rPr>
            </w:pPr>
            <w:r>
              <w:rPr>
                <w:rFonts w:eastAsia="Calibri" w:cs="Arial"/>
                <w:b/>
                <w:bCs/>
                <w:sz w:val="18"/>
                <w:szCs w:val="18"/>
              </w:rPr>
              <w:t>CNE</w:t>
            </w:r>
          </w:p>
        </w:tc>
        <w:tc>
          <w:tcPr>
            <w:tcW w:w="4127" w:type="pct"/>
          </w:tcPr>
          <w:p w14:paraId="739AFA36" w14:textId="5C53D7B9" w:rsidR="00CD7C2A" w:rsidRPr="00966AA3" w:rsidRDefault="00CD7C2A" w:rsidP="00336136">
            <w:pPr>
              <w:spacing w:after="120"/>
              <w:rPr>
                <w:rFonts w:eastAsia="Calibri" w:cs="Arial"/>
                <w:sz w:val="18"/>
                <w:szCs w:val="18"/>
              </w:rPr>
            </w:pPr>
            <w:r>
              <w:rPr>
                <w:rFonts w:eastAsia="Calibri" w:cs="Arial"/>
                <w:sz w:val="18"/>
                <w:szCs w:val="18"/>
              </w:rPr>
              <w:t>N</w:t>
            </w:r>
            <w:r w:rsidRPr="004706F6">
              <w:rPr>
                <w:rFonts w:eastAsia="Calibri" w:cs="Arial"/>
                <w:sz w:val="18"/>
                <w:szCs w:val="18"/>
              </w:rPr>
              <w:t xml:space="preserve">ational </w:t>
            </w:r>
            <w:r>
              <w:rPr>
                <w:rFonts w:eastAsia="Calibri" w:cs="Arial"/>
                <w:sz w:val="18"/>
                <w:szCs w:val="18"/>
              </w:rPr>
              <w:t>E</w:t>
            </w:r>
            <w:r w:rsidRPr="004706F6">
              <w:rPr>
                <w:rFonts w:eastAsia="Calibri" w:cs="Arial"/>
                <w:sz w:val="18"/>
                <w:szCs w:val="18"/>
              </w:rPr>
              <w:t xml:space="preserve">nergy </w:t>
            </w:r>
            <w:r>
              <w:rPr>
                <w:rFonts w:eastAsia="Calibri" w:cs="Arial"/>
                <w:sz w:val="18"/>
                <w:szCs w:val="18"/>
              </w:rPr>
              <w:t>C</w:t>
            </w:r>
            <w:r w:rsidRPr="004706F6">
              <w:rPr>
                <w:rFonts w:eastAsia="Calibri" w:cs="Arial"/>
                <w:sz w:val="18"/>
                <w:szCs w:val="18"/>
              </w:rPr>
              <w:t>ouncil of El Salvador</w:t>
            </w:r>
            <w:r>
              <w:rPr>
                <w:rFonts w:eastAsia="Calibri" w:cs="Arial"/>
                <w:sz w:val="18"/>
                <w:szCs w:val="18"/>
              </w:rPr>
              <w:t xml:space="preserve"> </w:t>
            </w:r>
          </w:p>
        </w:tc>
      </w:tr>
      <w:tr w:rsidR="00CD7C2A" w:rsidRPr="00CF6841" w14:paraId="27A56048" w14:textId="77777777" w:rsidTr="00A9512F">
        <w:tc>
          <w:tcPr>
            <w:tcW w:w="873" w:type="pct"/>
          </w:tcPr>
          <w:p w14:paraId="487D0F3D" w14:textId="77777777" w:rsidR="00CD7C2A" w:rsidRDefault="00CD7C2A" w:rsidP="00336136">
            <w:pPr>
              <w:spacing w:after="120"/>
              <w:rPr>
                <w:rFonts w:eastAsia="Calibri" w:cs="Arial"/>
                <w:b/>
                <w:bCs/>
                <w:sz w:val="18"/>
                <w:szCs w:val="18"/>
              </w:rPr>
            </w:pPr>
            <w:r>
              <w:rPr>
                <w:rFonts w:eastAsia="Calibri" w:cs="Arial"/>
                <w:b/>
                <w:bCs/>
                <w:sz w:val="18"/>
                <w:szCs w:val="18"/>
              </w:rPr>
              <w:t>CNEE</w:t>
            </w:r>
          </w:p>
        </w:tc>
        <w:tc>
          <w:tcPr>
            <w:tcW w:w="4127" w:type="pct"/>
          </w:tcPr>
          <w:p w14:paraId="00BE829D" w14:textId="6C498A84" w:rsidR="00CD7C2A" w:rsidRPr="00966AA3" w:rsidRDefault="00CD7C2A" w:rsidP="00336136">
            <w:pPr>
              <w:spacing w:after="120"/>
              <w:rPr>
                <w:rFonts w:eastAsia="Calibri" w:cs="Arial"/>
                <w:sz w:val="18"/>
                <w:szCs w:val="18"/>
              </w:rPr>
            </w:pPr>
            <w:r w:rsidRPr="004706F6">
              <w:rPr>
                <w:rFonts w:eastAsia="Calibri" w:cs="Arial"/>
                <w:sz w:val="18"/>
                <w:szCs w:val="18"/>
              </w:rPr>
              <w:t>National Electric Power Commission</w:t>
            </w:r>
            <w:r>
              <w:rPr>
                <w:rFonts w:eastAsia="Calibri" w:cs="Arial"/>
                <w:sz w:val="18"/>
                <w:szCs w:val="18"/>
              </w:rPr>
              <w:t xml:space="preserve">, Guatemala </w:t>
            </w:r>
          </w:p>
        </w:tc>
      </w:tr>
      <w:tr w:rsidR="00CD7C2A" w:rsidRPr="00CF6841" w14:paraId="58201D88" w14:textId="77777777" w:rsidTr="00A9512F">
        <w:tc>
          <w:tcPr>
            <w:tcW w:w="873" w:type="pct"/>
          </w:tcPr>
          <w:p w14:paraId="4BBE7B32" w14:textId="77777777" w:rsidR="00CD7C2A" w:rsidRPr="009B3225" w:rsidRDefault="00CD7C2A" w:rsidP="00336136">
            <w:pPr>
              <w:spacing w:after="120"/>
              <w:rPr>
                <w:rFonts w:eastAsia="Calibri" w:cs="Arial"/>
                <w:b/>
                <w:bCs/>
                <w:sz w:val="18"/>
                <w:szCs w:val="18"/>
              </w:rPr>
            </w:pPr>
            <w:r>
              <w:rPr>
                <w:rFonts w:eastAsia="Calibri" w:cs="Arial"/>
                <w:b/>
                <w:bCs/>
                <w:sz w:val="18"/>
                <w:szCs w:val="18"/>
              </w:rPr>
              <w:t>CRIE</w:t>
            </w:r>
          </w:p>
        </w:tc>
        <w:tc>
          <w:tcPr>
            <w:tcW w:w="4127" w:type="pct"/>
          </w:tcPr>
          <w:p w14:paraId="65891CBB" w14:textId="1787B218" w:rsidR="00CD7C2A" w:rsidRPr="00CF6841" w:rsidRDefault="00CD7C2A" w:rsidP="00336136">
            <w:pPr>
              <w:spacing w:after="120"/>
              <w:rPr>
                <w:rFonts w:eastAsia="Calibri" w:cs="Arial"/>
                <w:sz w:val="18"/>
                <w:szCs w:val="18"/>
              </w:rPr>
            </w:pPr>
            <w:r w:rsidRPr="009B3225">
              <w:rPr>
                <w:rFonts w:eastAsia="Calibri" w:cs="Arial"/>
                <w:sz w:val="18"/>
                <w:szCs w:val="18"/>
              </w:rPr>
              <w:t>Regional Commission for Electricity Interconnection</w:t>
            </w:r>
            <w:r>
              <w:rPr>
                <w:rFonts w:eastAsia="Calibri" w:cs="Arial"/>
                <w:sz w:val="18"/>
                <w:szCs w:val="18"/>
              </w:rPr>
              <w:t xml:space="preserve"> </w:t>
            </w:r>
          </w:p>
        </w:tc>
      </w:tr>
      <w:tr w:rsidR="00CD7C2A" w:rsidRPr="00CF6841" w14:paraId="21D86686" w14:textId="77777777" w:rsidTr="00A9512F">
        <w:tc>
          <w:tcPr>
            <w:tcW w:w="873" w:type="pct"/>
          </w:tcPr>
          <w:p w14:paraId="6319BDF3" w14:textId="77777777" w:rsidR="00CD7C2A" w:rsidRPr="00CF6841" w:rsidRDefault="00CD7C2A" w:rsidP="00336136">
            <w:pPr>
              <w:spacing w:after="120"/>
              <w:rPr>
                <w:rFonts w:eastAsia="Calibri" w:cs="Arial"/>
                <w:b/>
                <w:bCs/>
                <w:sz w:val="18"/>
                <w:szCs w:val="18"/>
                <w:highlight w:val="yellow"/>
              </w:rPr>
            </w:pPr>
            <w:r w:rsidRPr="00CF6841">
              <w:rPr>
                <w:rFonts w:eastAsia="Calibri" w:cs="Arial"/>
                <w:b/>
                <w:bCs/>
                <w:sz w:val="18"/>
                <w:szCs w:val="18"/>
              </w:rPr>
              <w:t>ECLAC</w:t>
            </w:r>
          </w:p>
        </w:tc>
        <w:tc>
          <w:tcPr>
            <w:tcW w:w="4127" w:type="pct"/>
          </w:tcPr>
          <w:p w14:paraId="6D99016B" w14:textId="77777777" w:rsidR="00CD7C2A" w:rsidRPr="00CF6841" w:rsidRDefault="00CD7C2A" w:rsidP="00336136">
            <w:pPr>
              <w:spacing w:after="120"/>
              <w:rPr>
                <w:rFonts w:eastAsia="Calibri" w:cs="Arial"/>
                <w:sz w:val="18"/>
                <w:szCs w:val="18"/>
              </w:rPr>
            </w:pPr>
            <w:r w:rsidRPr="00CF6841">
              <w:rPr>
                <w:rFonts w:eastAsia="Calibri" w:cs="Arial"/>
                <w:sz w:val="18"/>
                <w:szCs w:val="18"/>
              </w:rPr>
              <w:t>Economic Commission for Latin America and the Caribbean</w:t>
            </w:r>
          </w:p>
        </w:tc>
      </w:tr>
      <w:tr w:rsidR="00CD7C2A" w:rsidRPr="00CF6841" w14:paraId="16DF5D15" w14:textId="77777777" w:rsidTr="00A9512F">
        <w:tc>
          <w:tcPr>
            <w:tcW w:w="873" w:type="pct"/>
          </w:tcPr>
          <w:p w14:paraId="05E1F7E1" w14:textId="77777777" w:rsidR="00CD7C2A" w:rsidRPr="00CF6841" w:rsidRDefault="00CD7C2A" w:rsidP="00336136">
            <w:pPr>
              <w:spacing w:after="120"/>
              <w:rPr>
                <w:rFonts w:eastAsia="Calibri" w:cs="Arial"/>
                <w:b/>
                <w:bCs/>
                <w:sz w:val="18"/>
                <w:szCs w:val="18"/>
              </w:rPr>
            </w:pPr>
            <w:r>
              <w:rPr>
                <w:rFonts w:eastAsia="Calibri" w:cs="Arial"/>
                <w:b/>
                <w:bCs/>
                <w:sz w:val="18"/>
                <w:szCs w:val="18"/>
              </w:rPr>
              <w:t>EES</w:t>
            </w:r>
          </w:p>
        </w:tc>
        <w:tc>
          <w:tcPr>
            <w:tcW w:w="4127" w:type="pct"/>
          </w:tcPr>
          <w:p w14:paraId="48EF1402" w14:textId="4BC80D0C" w:rsidR="00CD7C2A" w:rsidRPr="00CF6841" w:rsidRDefault="00CD7C2A" w:rsidP="00336136">
            <w:pPr>
              <w:spacing w:after="120"/>
              <w:rPr>
                <w:rFonts w:eastAsia="Calibri" w:cs="Arial"/>
                <w:sz w:val="18"/>
                <w:szCs w:val="18"/>
              </w:rPr>
            </w:pPr>
            <w:r w:rsidRPr="001332A4">
              <w:rPr>
                <w:rFonts w:eastAsia="Calibri" w:cs="Arial"/>
                <w:sz w:val="18"/>
                <w:szCs w:val="18"/>
              </w:rPr>
              <w:t xml:space="preserve">Sustainable Energy Strategy </w:t>
            </w:r>
          </w:p>
        </w:tc>
      </w:tr>
      <w:tr w:rsidR="00CD7C2A" w:rsidRPr="00CF6841" w14:paraId="23A633F0" w14:textId="77777777" w:rsidTr="00A9512F">
        <w:tc>
          <w:tcPr>
            <w:tcW w:w="873" w:type="pct"/>
          </w:tcPr>
          <w:p w14:paraId="1202A5A1" w14:textId="77777777" w:rsidR="00CD7C2A" w:rsidRPr="009B3225" w:rsidRDefault="00CD7C2A" w:rsidP="00336136">
            <w:pPr>
              <w:spacing w:after="120"/>
              <w:rPr>
                <w:rFonts w:eastAsia="Calibri" w:cs="Arial"/>
                <w:b/>
                <w:bCs/>
                <w:sz w:val="18"/>
                <w:szCs w:val="18"/>
              </w:rPr>
            </w:pPr>
            <w:r>
              <w:rPr>
                <w:rFonts w:eastAsia="Calibri" w:cs="Arial"/>
                <w:b/>
                <w:bCs/>
                <w:sz w:val="18"/>
                <w:szCs w:val="18"/>
              </w:rPr>
              <w:t>EOR</w:t>
            </w:r>
          </w:p>
        </w:tc>
        <w:tc>
          <w:tcPr>
            <w:tcW w:w="4127" w:type="pct"/>
          </w:tcPr>
          <w:p w14:paraId="0A98D168" w14:textId="54A96664" w:rsidR="00CD7C2A" w:rsidRPr="00CF6841" w:rsidRDefault="00CD7C2A" w:rsidP="00336136">
            <w:pPr>
              <w:spacing w:after="120"/>
              <w:rPr>
                <w:rFonts w:eastAsia="Calibri" w:cs="Arial"/>
                <w:sz w:val="18"/>
                <w:szCs w:val="18"/>
              </w:rPr>
            </w:pPr>
            <w:r w:rsidRPr="009B3225">
              <w:rPr>
                <w:rFonts w:eastAsia="Calibri" w:cs="Arial"/>
                <w:sz w:val="18"/>
                <w:szCs w:val="18"/>
              </w:rPr>
              <w:t>Regional Operating Agency</w:t>
            </w:r>
            <w:r>
              <w:rPr>
                <w:rFonts w:eastAsia="Calibri" w:cs="Arial"/>
                <w:sz w:val="18"/>
                <w:szCs w:val="18"/>
              </w:rPr>
              <w:t xml:space="preserve"> </w:t>
            </w:r>
          </w:p>
        </w:tc>
      </w:tr>
      <w:tr w:rsidR="00CD7C2A" w:rsidRPr="00CF6841" w14:paraId="4CF8249A" w14:textId="77777777" w:rsidTr="00A9512F">
        <w:tc>
          <w:tcPr>
            <w:tcW w:w="873" w:type="pct"/>
          </w:tcPr>
          <w:p w14:paraId="3A2337A8" w14:textId="77777777" w:rsidR="00CD7C2A" w:rsidRPr="00CF6841" w:rsidRDefault="00CD7C2A" w:rsidP="00336136">
            <w:pPr>
              <w:spacing w:after="120"/>
              <w:rPr>
                <w:rFonts w:eastAsia="Calibri" w:cs="Arial"/>
                <w:b/>
                <w:bCs/>
                <w:sz w:val="18"/>
                <w:szCs w:val="18"/>
                <w:highlight w:val="yellow"/>
              </w:rPr>
            </w:pPr>
            <w:r w:rsidRPr="00CF6841">
              <w:rPr>
                <w:rFonts w:eastAsia="Calibri" w:cs="Arial"/>
                <w:b/>
                <w:bCs/>
                <w:sz w:val="18"/>
                <w:szCs w:val="18"/>
              </w:rPr>
              <w:t>EPR</w:t>
            </w:r>
          </w:p>
        </w:tc>
        <w:tc>
          <w:tcPr>
            <w:tcW w:w="4127" w:type="pct"/>
          </w:tcPr>
          <w:p w14:paraId="741B0E15" w14:textId="01C9ECCA" w:rsidR="00CD7C2A" w:rsidRPr="00CF6841" w:rsidRDefault="00CD7C2A" w:rsidP="00336136">
            <w:pPr>
              <w:spacing w:after="120"/>
              <w:rPr>
                <w:rFonts w:eastAsia="Calibri" w:cs="Arial"/>
                <w:sz w:val="18"/>
                <w:szCs w:val="18"/>
              </w:rPr>
            </w:pPr>
            <w:r w:rsidRPr="009B3225">
              <w:rPr>
                <w:rFonts w:eastAsia="Calibri" w:cs="Arial"/>
                <w:sz w:val="18"/>
                <w:szCs w:val="18"/>
              </w:rPr>
              <w:t>Network Owner Company</w:t>
            </w:r>
            <w:r>
              <w:rPr>
                <w:rFonts w:eastAsia="Calibri" w:cs="Arial"/>
                <w:sz w:val="18"/>
                <w:szCs w:val="18"/>
              </w:rPr>
              <w:t xml:space="preserve"> </w:t>
            </w:r>
          </w:p>
        </w:tc>
      </w:tr>
      <w:tr w:rsidR="00CD7C2A" w:rsidRPr="00CF6841" w14:paraId="023119CC" w14:textId="77777777" w:rsidTr="00A9512F">
        <w:tc>
          <w:tcPr>
            <w:tcW w:w="873" w:type="pct"/>
          </w:tcPr>
          <w:p w14:paraId="66A11437" w14:textId="77777777" w:rsidR="00CD7C2A" w:rsidRPr="00CF6841" w:rsidRDefault="00CD7C2A" w:rsidP="00336136">
            <w:pPr>
              <w:spacing w:after="120"/>
              <w:rPr>
                <w:rFonts w:eastAsia="Calibri" w:cs="Arial"/>
                <w:b/>
                <w:bCs/>
                <w:sz w:val="18"/>
                <w:szCs w:val="18"/>
              </w:rPr>
            </w:pPr>
            <w:r>
              <w:rPr>
                <w:rFonts w:eastAsia="Calibri" w:cs="Arial"/>
                <w:b/>
                <w:bCs/>
                <w:sz w:val="18"/>
                <w:szCs w:val="18"/>
              </w:rPr>
              <w:t>ESCOs</w:t>
            </w:r>
          </w:p>
        </w:tc>
        <w:tc>
          <w:tcPr>
            <w:tcW w:w="4127" w:type="pct"/>
          </w:tcPr>
          <w:p w14:paraId="4C916DE0" w14:textId="77777777" w:rsidR="00CD7C2A" w:rsidRPr="009B3225" w:rsidRDefault="00CD7C2A" w:rsidP="00336136">
            <w:pPr>
              <w:spacing w:after="120"/>
              <w:rPr>
                <w:rFonts w:eastAsia="Calibri" w:cs="Arial"/>
                <w:sz w:val="18"/>
                <w:szCs w:val="18"/>
              </w:rPr>
            </w:pPr>
            <w:r>
              <w:rPr>
                <w:rFonts w:eastAsia="Calibri" w:cs="Arial"/>
                <w:sz w:val="18"/>
                <w:szCs w:val="18"/>
              </w:rPr>
              <w:t>Energy Service Companies</w:t>
            </w:r>
          </w:p>
        </w:tc>
      </w:tr>
      <w:tr w:rsidR="00CD7C2A" w:rsidRPr="00CF6841" w14:paraId="6F9C9A12" w14:textId="77777777" w:rsidTr="00A9512F">
        <w:tc>
          <w:tcPr>
            <w:tcW w:w="873" w:type="pct"/>
          </w:tcPr>
          <w:p w14:paraId="30B75E68" w14:textId="77777777" w:rsidR="00CD7C2A" w:rsidRPr="00CF6841" w:rsidRDefault="00CD7C2A" w:rsidP="00336136">
            <w:pPr>
              <w:spacing w:after="120"/>
              <w:rPr>
                <w:rFonts w:eastAsia="Calibri" w:cs="Arial"/>
                <w:b/>
                <w:bCs/>
                <w:sz w:val="18"/>
                <w:szCs w:val="18"/>
                <w:highlight w:val="yellow"/>
              </w:rPr>
            </w:pPr>
            <w:r w:rsidRPr="00CF6841">
              <w:rPr>
                <w:rFonts w:eastAsia="Calibri" w:cs="Arial"/>
                <w:b/>
                <w:bCs/>
                <w:sz w:val="18"/>
                <w:szCs w:val="18"/>
              </w:rPr>
              <w:t>EU</w:t>
            </w:r>
          </w:p>
        </w:tc>
        <w:tc>
          <w:tcPr>
            <w:tcW w:w="4127" w:type="pct"/>
          </w:tcPr>
          <w:p w14:paraId="05AD9793" w14:textId="77777777" w:rsidR="00CD7C2A" w:rsidRPr="00CF6841" w:rsidRDefault="00CD7C2A" w:rsidP="00336136">
            <w:pPr>
              <w:spacing w:after="120"/>
              <w:rPr>
                <w:rFonts w:eastAsia="Calibri" w:cs="Arial"/>
                <w:sz w:val="18"/>
                <w:szCs w:val="18"/>
              </w:rPr>
            </w:pPr>
            <w:r w:rsidRPr="00CF6841">
              <w:rPr>
                <w:rFonts w:eastAsia="Calibri" w:cs="Arial"/>
                <w:sz w:val="18"/>
                <w:szCs w:val="18"/>
              </w:rPr>
              <w:t>European Union</w:t>
            </w:r>
          </w:p>
        </w:tc>
      </w:tr>
      <w:tr w:rsidR="00CD7C2A" w:rsidRPr="00CF6841" w14:paraId="6F95329A" w14:textId="77777777" w:rsidTr="00A9512F">
        <w:tc>
          <w:tcPr>
            <w:tcW w:w="873" w:type="pct"/>
          </w:tcPr>
          <w:p w14:paraId="53D422D5" w14:textId="77777777" w:rsidR="00CD7C2A" w:rsidRPr="00CF6841" w:rsidRDefault="00CD7C2A" w:rsidP="00336136">
            <w:pPr>
              <w:spacing w:after="120"/>
              <w:rPr>
                <w:rFonts w:eastAsia="Calibri" w:cs="Arial"/>
                <w:b/>
                <w:bCs/>
                <w:sz w:val="18"/>
                <w:szCs w:val="18"/>
                <w:highlight w:val="yellow"/>
              </w:rPr>
            </w:pPr>
            <w:r w:rsidRPr="00CF6841">
              <w:rPr>
                <w:rFonts w:eastAsia="Calibri" w:cs="Arial"/>
                <w:b/>
                <w:bCs/>
                <w:sz w:val="18"/>
                <w:szCs w:val="18"/>
              </w:rPr>
              <w:t>GDP</w:t>
            </w:r>
          </w:p>
        </w:tc>
        <w:tc>
          <w:tcPr>
            <w:tcW w:w="4127" w:type="pct"/>
          </w:tcPr>
          <w:p w14:paraId="0C49357A" w14:textId="77777777" w:rsidR="00CD7C2A" w:rsidRPr="00CF6841" w:rsidRDefault="00CD7C2A" w:rsidP="00336136">
            <w:pPr>
              <w:spacing w:after="120"/>
              <w:rPr>
                <w:rFonts w:eastAsia="Calibri" w:cs="Arial"/>
                <w:sz w:val="18"/>
                <w:szCs w:val="18"/>
              </w:rPr>
            </w:pPr>
            <w:r w:rsidRPr="00CF6841">
              <w:rPr>
                <w:rFonts w:eastAsia="Calibri" w:cs="Arial"/>
                <w:sz w:val="18"/>
                <w:szCs w:val="18"/>
              </w:rPr>
              <w:t>Gross Domestic Product</w:t>
            </w:r>
          </w:p>
        </w:tc>
      </w:tr>
      <w:tr w:rsidR="00CD7C2A" w:rsidRPr="00CF6841" w14:paraId="0735EFC1" w14:textId="77777777" w:rsidTr="00A9512F">
        <w:tc>
          <w:tcPr>
            <w:tcW w:w="873" w:type="pct"/>
          </w:tcPr>
          <w:p w14:paraId="49C3415F" w14:textId="77777777" w:rsidR="00CD7C2A" w:rsidRPr="00CF6841" w:rsidRDefault="00CD7C2A" w:rsidP="00336136">
            <w:pPr>
              <w:spacing w:after="120"/>
              <w:rPr>
                <w:rFonts w:eastAsia="Calibri" w:cs="Arial"/>
                <w:b/>
                <w:bCs/>
                <w:sz w:val="18"/>
                <w:szCs w:val="18"/>
                <w:highlight w:val="yellow"/>
              </w:rPr>
            </w:pPr>
            <w:r w:rsidRPr="00CF6841">
              <w:rPr>
                <w:rFonts w:eastAsia="Calibri" w:cs="Arial"/>
                <w:b/>
                <w:bCs/>
                <w:sz w:val="18"/>
                <w:szCs w:val="18"/>
              </w:rPr>
              <w:t>GHG</w:t>
            </w:r>
          </w:p>
        </w:tc>
        <w:tc>
          <w:tcPr>
            <w:tcW w:w="4127" w:type="pct"/>
          </w:tcPr>
          <w:p w14:paraId="62AFA410" w14:textId="77777777" w:rsidR="00CD7C2A" w:rsidRPr="00CF6841" w:rsidRDefault="00CD7C2A" w:rsidP="00336136">
            <w:pPr>
              <w:spacing w:after="120"/>
              <w:rPr>
                <w:rFonts w:eastAsia="Calibri" w:cs="Arial"/>
                <w:sz w:val="18"/>
                <w:szCs w:val="18"/>
              </w:rPr>
            </w:pPr>
            <w:r w:rsidRPr="00CF6841">
              <w:rPr>
                <w:rFonts w:eastAsia="Calibri" w:cs="Arial"/>
                <w:sz w:val="18"/>
                <w:szCs w:val="18"/>
              </w:rPr>
              <w:t>Greenhouse Gases</w:t>
            </w:r>
          </w:p>
        </w:tc>
      </w:tr>
      <w:tr w:rsidR="00CD7C2A" w:rsidRPr="00CF6841" w14:paraId="5F7B475D" w14:textId="77777777" w:rsidTr="00A9512F">
        <w:tc>
          <w:tcPr>
            <w:tcW w:w="873" w:type="pct"/>
          </w:tcPr>
          <w:p w14:paraId="5169C67C" w14:textId="77777777" w:rsidR="00CD7C2A" w:rsidRPr="00CF6841" w:rsidRDefault="00CD7C2A" w:rsidP="00336136">
            <w:pPr>
              <w:spacing w:after="120"/>
              <w:rPr>
                <w:rFonts w:eastAsia="Calibri" w:cs="Arial"/>
                <w:b/>
                <w:bCs/>
                <w:sz w:val="18"/>
                <w:szCs w:val="18"/>
                <w:highlight w:val="yellow"/>
              </w:rPr>
            </w:pPr>
            <w:r w:rsidRPr="00CF6841">
              <w:rPr>
                <w:rFonts w:eastAsia="Calibri" w:cs="Arial"/>
                <w:b/>
                <w:bCs/>
                <w:sz w:val="18"/>
                <w:szCs w:val="18"/>
              </w:rPr>
              <w:t>ICE</w:t>
            </w:r>
          </w:p>
        </w:tc>
        <w:tc>
          <w:tcPr>
            <w:tcW w:w="4127" w:type="pct"/>
          </w:tcPr>
          <w:p w14:paraId="61F06C65" w14:textId="77777777" w:rsidR="00CD7C2A" w:rsidRPr="00CF6841" w:rsidRDefault="00CD7C2A" w:rsidP="00336136">
            <w:pPr>
              <w:spacing w:after="120"/>
              <w:rPr>
                <w:rFonts w:eastAsia="Calibri" w:cs="Arial"/>
                <w:sz w:val="18"/>
                <w:szCs w:val="18"/>
              </w:rPr>
            </w:pPr>
            <w:r w:rsidRPr="00CF6841">
              <w:rPr>
                <w:rFonts w:eastAsia="Calibri" w:cs="Arial"/>
                <w:sz w:val="18"/>
                <w:szCs w:val="18"/>
              </w:rPr>
              <w:t>Costa Rican Institute of Electricity</w:t>
            </w:r>
          </w:p>
        </w:tc>
      </w:tr>
      <w:tr w:rsidR="00CD7C2A" w:rsidRPr="00CF6841" w14:paraId="7CDD9E67" w14:textId="77777777" w:rsidTr="00A9512F">
        <w:tc>
          <w:tcPr>
            <w:tcW w:w="873" w:type="pct"/>
          </w:tcPr>
          <w:p w14:paraId="176DB179" w14:textId="77777777" w:rsidR="00CD7C2A" w:rsidRPr="00CF6841" w:rsidRDefault="00CD7C2A" w:rsidP="00336136">
            <w:pPr>
              <w:spacing w:after="120"/>
              <w:rPr>
                <w:rFonts w:eastAsia="Calibri" w:cs="Arial"/>
                <w:b/>
                <w:bCs/>
                <w:sz w:val="18"/>
                <w:szCs w:val="18"/>
                <w:highlight w:val="yellow"/>
              </w:rPr>
            </w:pPr>
            <w:r w:rsidRPr="00CF6841">
              <w:rPr>
                <w:rFonts w:eastAsia="Calibri" w:cs="Arial"/>
                <w:b/>
                <w:bCs/>
                <w:sz w:val="18"/>
                <w:szCs w:val="18"/>
              </w:rPr>
              <w:t>IRENA</w:t>
            </w:r>
          </w:p>
        </w:tc>
        <w:tc>
          <w:tcPr>
            <w:tcW w:w="4127" w:type="pct"/>
          </w:tcPr>
          <w:p w14:paraId="663E3E01" w14:textId="77777777" w:rsidR="00CD7C2A" w:rsidRPr="00CF6841" w:rsidRDefault="00CD7C2A" w:rsidP="00336136">
            <w:pPr>
              <w:spacing w:after="120"/>
              <w:rPr>
                <w:rFonts w:eastAsia="Calibri" w:cs="Arial"/>
                <w:sz w:val="18"/>
                <w:szCs w:val="18"/>
              </w:rPr>
            </w:pPr>
            <w:r w:rsidRPr="00CF6841">
              <w:rPr>
                <w:rFonts w:eastAsia="Calibri" w:cs="Arial"/>
                <w:sz w:val="18"/>
                <w:szCs w:val="18"/>
              </w:rPr>
              <w:t>International Renewable Energy Agency</w:t>
            </w:r>
          </w:p>
        </w:tc>
      </w:tr>
      <w:tr w:rsidR="00CD7C2A" w:rsidRPr="00CF6841" w14:paraId="5552AC95" w14:textId="77777777" w:rsidTr="00A9512F">
        <w:tc>
          <w:tcPr>
            <w:tcW w:w="873" w:type="pct"/>
          </w:tcPr>
          <w:p w14:paraId="3DE3F13A" w14:textId="77777777" w:rsidR="00CD7C2A" w:rsidRPr="00055C76" w:rsidRDefault="00CD7C2A" w:rsidP="00336136">
            <w:pPr>
              <w:spacing w:after="120"/>
              <w:rPr>
                <w:rFonts w:eastAsia="Calibri" w:cs="Arial"/>
                <w:b/>
                <w:bCs/>
                <w:sz w:val="18"/>
                <w:szCs w:val="18"/>
              </w:rPr>
            </w:pPr>
            <w:r>
              <w:rPr>
                <w:rFonts w:eastAsia="Calibri" w:cs="Arial"/>
                <w:b/>
                <w:bCs/>
                <w:sz w:val="18"/>
                <w:szCs w:val="18"/>
              </w:rPr>
              <w:t>LULUCF</w:t>
            </w:r>
          </w:p>
        </w:tc>
        <w:tc>
          <w:tcPr>
            <w:tcW w:w="4127" w:type="pct"/>
          </w:tcPr>
          <w:p w14:paraId="6CAA1E20" w14:textId="77777777" w:rsidR="00CD7C2A" w:rsidRPr="00CF6841" w:rsidRDefault="00CD7C2A" w:rsidP="00336136">
            <w:pPr>
              <w:spacing w:after="120"/>
              <w:rPr>
                <w:rFonts w:eastAsia="Calibri" w:cs="Arial"/>
                <w:sz w:val="18"/>
                <w:szCs w:val="18"/>
              </w:rPr>
            </w:pPr>
            <w:r w:rsidRPr="00055C76">
              <w:rPr>
                <w:rFonts w:eastAsia="Calibri" w:cs="Arial"/>
                <w:sz w:val="18"/>
                <w:szCs w:val="18"/>
              </w:rPr>
              <w:t>Land use, land-use change, and forestry</w:t>
            </w:r>
          </w:p>
        </w:tc>
      </w:tr>
      <w:tr w:rsidR="00CD7C2A" w:rsidRPr="00CF6841" w14:paraId="24DCD071" w14:textId="77777777" w:rsidTr="00A9512F">
        <w:tc>
          <w:tcPr>
            <w:tcW w:w="873" w:type="pct"/>
          </w:tcPr>
          <w:p w14:paraId="5FB3ACD0" w14:textId="77777777" w:rsidR="00CD7C2A" w:rsidRPr="00CF6841" w:rsidRDefault="00CD7C2A" w:rsidP="00336136">
            <w:pPr>
              <w:spacing w:after="120"/>
              <w:rPr>
                <w:rFonts w:eastAsia="Calibri" w:cs="Arial"/>
                <w:b/>
                <w:bCs/>
                <w:sz w:val="18"/>
                <w:szCs w:val="18"/>
                <w:highlight w:val="yellow"/>
              </w:rPr>
            </w:pPr>
            <w:r w:rsidRPr="009B3225">
              <w:rPr>
                <w:rFonts w:eastAsia="Calibri" w:cs="Arial"/>
                <w:b/>
                <w:bCs/>
                <w:sz w:val="18"/>
                <w:szCs w:val="18"/>
              </w:rPr>
              <w:t>MCR</w:t>
            </w:r>
          </w:p>
        </w:tc>
        <w:tc>
          <w:tcPr>
            <w:tcW w:w="4127" w:type="pct"/>
          </w:tcPr>
          <w:p w14:paraId="0AF99BDB" w14:textId="3A8DA86C" w:rsidR="00CD7C2A" w:rsidRPr="00CF6841" w:rsidRDefault="00CD7C2A" w:rsidP="00336136">
            <w:pPr>
              <w:spacing w:after="120"/>
              <w:rPr>
                <w:rFonts w:eastAsia="Calibri" w:cs="Arial"/>
                <w:sz w:val="18"/>
                <w:szCs w:val="18"/>
              </w:rPr>
            </w:pPr>
            <w:r w:rsidRPr="009B3225">
              <w:rPr>
                <w:rFonts w:eastAsia="Calibri" w:cs="Arial"/>
                <w:sz w:val="18"/>
                <w:szCs w:val="18"/>
              </w:rPr>
              <w:t>Regional Contract Market</w:t>
            </w:r>
            <w:r>
              <w:rPr>
                <w:rFonts w:eastAsia="Calibri" w:cs="Arial"/>
                <w:sz w:val="18"/>
                <w:szCs w:val="18"/>
              </w:rPr>
              <w:t xml:space="preserve"> </w:t>
            </w:r>
          </w:p>
        </w:tc>
      </w:tr>
      <w:tr w:rsidR="00CD7C2A" w:rsidRPr="00CF6841" w14:paraId="25405E0C" w14:textId="77777777" w:rsidTr="00A9512F">
        <w:tc>
          <w:tcPr>
            <w:tcW w:w="873" w:type="pct"/>
          </w:tcPr>
          <w:p w14:paraId="46353526" w14:textId="77777777" w:rsidR="00CD7C2A" w:rsidRPr="009B3225" w:rsidRDefault="00CD7C2A" w:rsidP="00336136">
            <w:pPr>
              <w:spacing w:after="120"/>
              <w:rPr>
                <w:rFonts w:eastAsia="Calibri" w:cs="Arial"/>
                <w:b/>
                <w:bCs/>
                <w:sz w:val="18"/>
                <w:szCs w:val="18"/>
              </w:rPr>
            </w:pPr>
            <w:r>
              <w:rPr>
                <w:rFonts w:eastAsia="Calibri" w:cs="Arial"/>
                <w:b/>
                <w:bCs/>
                <w:sz w:val="18"/>
                <w:szCs w:val="18"/>
              </w:rPr>
              <w:t>MEM</w:t>
            </w:r>
          </w:p>
        </w:tc>
        <w:tc>
          <w:tcPr>
            <w:tcW w:w="4127" w:type="pct"/>
          </w:tcPr>
          <w:p w14:paraId="0244D231" w14:textId="77777777" w:rsidR="00CD7C2A" w:rsidRPr="009B3225" w:rsidRDefault="00CD7C2A" w:rsidP="00336136">
            <w:pPr>
              <w:spacing w:after="120"/>
              <w:rPr>
                <w:rFonts w:eastAsia="Calibri" w:cs="Arial"/>
                <w:sz w:val="18"/>
                <w:szCs w:val="18"/>
              </w:rPr>
            </w:pPr>
            <w:r w:rsidRPr="004706F6">
              <w:rPr>
                <w:rFonts w:eastAsia="Calibri" w:cs="Arial"/>
                <w:sz w:val="18"/>
                <w:szCs w:val="18"/>
              </w:rPr>
              <w:t>Ministry of Energy and Mines</w:t>
            </w:r>
            <w:r>
              <w:rPr>
                <w:rFonts w:eastAsia="Calibri" w:cs="Arial"/>
                <w:sz w:val="18"/>
                <w:szCs w:val="18"/>
              </w:rPr>
              <w:t xml:space="preserve"> of Guatemala</w:t>
            </w:r>
          </w:p>
        </w:tc>
      </w:tr>
      <w:tr w:rsidR="00CD7C2A" w:rsidRPr="00CF6841" w14:paraId="75E67E01" w14:textId="77777777" w:rsidTr="00A9512F">
        <w:tc>
          <w:tcPr>
            <w:tcW w:w="873" w:type="pct"/>
          </w:tcPr>
          <w:p w14:paraId="3164A756" w14:textId="77777777" w:rsidR="00CD7C2A" w:rsidRPr="00CF6841" w:rsidRDefault="00CD7C2A" w:rsidP="00336136">
            <w:pPr>
              <w:spacing w:after="120"/>
              <w:rPr>
                <w:rFonts w:eastAsia="Calibri" w:cs="Arial"/>
                <w:b/>
                <w:bCs/>
                <w:sz w:val="18"/>
                <w:szCs w:val="18"/>
                <w:highlight w:val="yellow"/>
              </w:rPr>
            </w:pPr>
            <w:r w:rsidRPr="00CF6841">
              <w:rPr>
                <w:rFonts w:eastAsia="Calibri" w:cs="Arial"/>
                <w:b/>
                <w:bCs/>
                <w:sz w:val="18"/>
                <w:szCs w:val="18"/>
              </w:rPr>
              <w:t>MER</w:t>
            </w:r>
          </w:p>
        </w:tc>
        <w:tc>
          <w:tcPr>
            <w:tcW w:w="4127" w:type="pct"/>
          </w:tcPr>
          <w:p w14:paraId="7D7468D4" w14:textId="67830310" w:rsidR="00CD7C2A" w:rsidRPr="00CF6841" w:rsidRDefault="00CD7C2A" w:rsidP="00336136">
            <w:pPr>
              <w:spacing w:after="120"/>
              <w:rPr>
                <w:rFonts w:eastAsia="Calibri" w:cs="Arial"/>
                <w:sz w:val="18"/>
                <w:szCs w:val="18"/>
              </w:rPr>
            </w:pPr>
            <w:r w:rsidRPr="00CF6841">
              <w:rPr>
                <w:rFonts w:eastAsia="Calibri" w:cs="Arial"/>
                <w:sz w:val="18"/>
                <w:szCs w:val="18"/>
              </w:rPr>
              <w:t xml:space="preserve">Central America Regional Power Market </w:t>
            </w:r>
          </w:p>
        </w:tc>
      </w:tr>
      <w:tr w:rsidR="00CD7C2A" w:rsidRPr="00CF6841" w14:paraId="29A90468" w14:textId="77777777" w:rsidTr="00A9512F">
        <w:tc>
          <w:tcPr>
            <w:tcW w:w="873" w:type="pct"/>
          </w:tcPr>
          <w:p w14:paraId="267CE945" w14:textId="77777777" w:rsidR="00CD7C2A" w:rsidRPr="00CF6841" w:rsidRDefault="00CD7C2A" w:rsidP="00336136">
            <w:pPr>
              <w:spacing w:after="120"/>
              <w:rPr>
                <w:rFonts w:eastAsia="Calibri" w:cs="Arial"/>
                <w:b/>
                <w:bCs/>
                <w:sz w:val="18"/>
                <w:szCs w:val="18"/>
              </w:rPr>
            </w:pPr>
            <w:r>
              <w:rPr>
                <w:rFonts w:eastAsia="Calibri" w:cs="Arial"/>
                <w:b/>
                <w:bCs/>
                <w:sz w:val="18"/>
                <w:szCs w:val="18"/>
              </w:rPr>
              <w:t>MINAE</w:t>
            </w:r>
          </w:p>
        </w:tc>
        <w:tc>
          <w:tcPr>
            <w:tcW w:w="4127" w:type="pct"/>
          </w:tcPr>
          <w:p w14:paraId="210DCE1D" w14:textId="281966C3" w:rsidR="00CD7C2A" w:rsidRPr="00CF6841" w:rsidRDefault="00CD7C2A" w:rsidP="00336136">
            <w:pPr>
              <w:spacing w:after="120"/>
              <w:rPr>
                <w:rFonts w:eastAsia="Calibri" w:cs="Arial"/>
                <w:sz w:val="18"/>
                <w:szCs w:val="18"/>
              </w:rPr>
            </w:pPr>
            <w:r w:rsidRPr="0021142C">
              <w:rPr>
                <w:rFonts w:eastAsia="Calibri" w:cs="Arial"/>
                <w:sz w:val="18"/>
                <w:szCs w:val="18"/>
              </w:rPr>
              <w:t xml:space="preserve">Ministry of Environment and Energy </w:t>
            </w:r>
          </w:p>
        </w:tc>
      </w:tr>
      <w:tr w:rsidR="00CD7C2A" w:rsidRPr="00CF6841" w14:paraId="6D58CABA" w14:textId="77777777" w:rsidTr="00A9512F">
        <w:tc>
          <w:tcPr>
            <w:tcW w:w="873" w:type="pct"/>
          </w:tcPr>
          <w:p w14:paraId="541AC366" w14:textId="77777777" w:rsidR="00CD7C2A" w:rsidRPr="00CF6841" w:rsidRDefault="00CD7C2A" w:rsidP="00336136">
            <w:pPr>
              <w:spacing w:after="120"/>
              <w:rPr>
                <w:rFonts w:eastAsia="Calibri" w:cs="Arial"/>
                <w:b/>
                <w:bCs/>
                <w:sz w:val="18"/>
                <w:szCs w:val="18"/>
              </w:rPr>
            </w:pPr>
            <w:r>
              <w:rPr>
                <w:rFonts w:eastAsia="Calibri" w:cs="Arial"/>
                <w:b/>
                <w:bCs/>
                <w:sz w:val="18"/>
                <w:szCs w:val="18"/>
              </w:rPr>
              <w:t>MWh</w:t>
            </w:r>
          </w:p>
        </w:tc>
        <w:tc>
          <w:tcPr>
            <w:tcW w:w="4127" w:type="pct"/>
          </w:tcPr>
          <w:p w14:paraId="21C7140C" w14:textId="77777777" w:rsidR="00CD7C2A" w:rsidRPr="00CF6841" w:rsidRDefault="00CD7C2A" w:rsidP="00336136">
            <w:pPr>
              <w:spacing w:after="120"/>
              <w:rPr>
                <w:rFonts w:eastAsia="Calibri" w:cs="Arial"/>
                <w:sz w:val="18"/>
                <w:szCs w:val="18"/>
              </w:rPr>
            </w:pPr>
            <w:r>
              <w:rPr>
                <w:rFonts w:eastAsia="Calibri" w:cs="Arial"/>
                <w:sz w:val="18"/>
                <w:szCs w:val="18"/>
              </w:rPr>
              <w:t>M</w:t>
            </w:r>
            <w:r w:rsidRPr="00CF6841">
              <w:rPr>
                <w:rFonts w:eastAsia="Calibri" w:cs="Arial"/>
                <w:sz w:val="18"/>
                <w:szCs w:val="18"/>
              </w:rPr>
              <w:t>egawatt</w:t>
            </w:r>
            <w:r>
              <w:rPr>
                <w:rFonts w:eastAsia="Calibri" w:cs="Arial"/>
                <w:sz w:val="18"/>
                <w:szCs w:val="18"/>
              </w:rPr>
              <w:t>-h</w:t>
            </w:r>
            <w:r w:rsidRPr="00CF6841">
              <w:rPr>
                <w:rFonts w:eastAsia="Calibri" w:cs="Arial"/>
                <w:sz w:val="18"/>
                <w:szCs w:val="18"/>
              </w:rPr>
              <w:t>our</w:t>
            </w:r>
          </w:p>
        </w:tc>
      </w:tr>
      <w:tr w:rsidR="00CD7C2A" w:rsidRPr="00CF6841" w14:paraId="72BCD12D" w14:textId="77777777" w:rsidTr="00A9512F">
        <w:tc>
          <w:tcPr>
            <w:tcW w:w="873" w:type="pct"/>
          </w:tcPr>
          <w:p w14:paraId="02662E85" w14:textId="77777777" w:rsidR="00CD7C2A" w:rsidRDefault="00CD7C2A" w:rsidP="00336136">
            <w:pPr>
              <w:spacing w:after="120"/>
              <w:rPr>
                <w:rFonts w:eastAsia="Calibri" w:cs="Arial"/>
                <w:b/>
                <w:bCs/>
                <w:sz w:val="18"/>
                <w:szCs w:val="18"/>
              </w:rPr>
            </w:pPr>
            <w:r>
              <w:rPr>
                <w:rFonts w:eastAsia="Calibri" w:cs="Arial"/>
                <w:b/>
                <w:bCs/>
                <w:sz w:val="18"/>
                <w:szCs w:val="18"/>
              </w:rPr>
              <w:t>NDCs</w:t>
            </w:r>
          </w:p>
        </w:tc>
        <w:tc>
          <w:tcPr>
            <w:tcW w:w="4127" w:type="pct"/>
          </w:tcPr>
          <w:p w14:paraId="25135BFD" w14:textId="77777777" w:rsidR="00CD7C2A" w:rsidRDefault="00CD7C2A" w:rsidP="00336136">
            <w:pPr>
              <w:spacing w:after="120"/>
              <w:rPr>
                <w:rFonts w:eastAsia="Calibri" w:cs="Arial"/>
                <w:sz w:val="18"/>
                <w:szCs w:val="18"/>
              </w:rPr>
            </w:pPr>
            <w:r w:rsidRPr="001332A4">
              <w:rPr>
                <w:rFonts w:eastAsia="Calibri" w:cs="Arial"/>
                <w:sz w:val="18"/>
                <w:szCs w:val="18"/>
              </w:rPr>
              <w:t>Nationally Determined Contributions</w:t>
            </w:r>
          </w:p>
        </w:tc>
      </w:tr>
      <w:tr w:rsidR="00CD7C2A" w:rsidRPr="00CF6841" w14:paraId="45F1C187" w14:textId="77777777" w:rsidTr="00A9512F">
        <w:tc>
          <w:tcPr>
            <w:tcW w:w="873" w:type="pct"/>
          </w:tcPr>
          <w:p w14:paraId="50B19B24" w14:textId="77777777" w:rsidR="00CD7C2A" w:rsidRPr="00CF6841" w:rsidRDefault="00CD7C2A" w:rsidP="00336136">
            <w:pPr>
              <w:spacing w:after="120"/>
              <w:rPr>
                <w:rFonts w:eastAsia="Calibri" w:cs="Arial"/>
                <w:b/>
                <w:bCs/>
                <w:sz w:val="18"/>
                <w:szCs w:val="18"/>
                <w:highlight w:val="yellow"/>
              </w:rPr>
            </w:pPr>
            <w:r w:rsidRPr="00CF6841">
              <w:rPr>
                <w:rFonts w:eastAsia="Calibri" w:cs="Arial"/>
                <w:b/>
                <w:bCs/>
                <w:sz w:val="18"/>
                <w:szCs w:val="18"/>
              </w:rPr>
              <w:t>NAMA</w:t>
            </w:r>
          </w:p>
        </w:tc>
        <w:tc>
          <w:tcPr>
            <w:tcW w:w="4127" w:type="pct"/>
          </w:tcPr>
          <w:p w14:paraId="48998E37" w14:textId="77777777" w:rsidR="00CD7C2A" w:rsidRPr="00CF6841" w:rsidRDefault="00CD7C2A" w:rsidP="00336136">
            <w:pPr>
              <w:spacing w:after="120"/>
              <w:rPr>
                <w:rFonts w:eastAsia="Calibri" w:cs="Arial"/>
                <w:sz w:val="18"/>
                <w:szCs w:val="18"/>
              </w:rPr>
            </w:pPr>
            <w:r w:rsidRPr="00CF6841">
              <w:rPr>
                <w:rFonts w:eastAsia="Calibri" w:cs="Arial"/>
                <w:sz w:val="18"/>
                <w:szCs w:val="18"/>
              </w:rPr>
              <w:t>Nationally Appropriate Mitigation Actions</w:t>
            </w:r>
          </w:p>
        </w:tc>
      </w:tr>
      <w:tr w:rsidR="00CD7C2A" w:rsidRPr="00CF6841" w14:paraId="032E1609" w14:textId="77777777" w:rsidTr="00A9512F">
        <w:tc>
          <w:tcPr>
            <w:tcW w:w="873" w:type="pct"/>
          </w:tcPr>
          <w:p w14:paraId="669A20F2" w14:textId="77777777" w:rsidR="00CD7C2A" w:rsidRPr="0021142C" w:rsidRDefault="00CD7C2A" w:rsidP="00336136">
            <w:pPr>
              <w:spacing w:after="120"/>
              <w:rPr>
                <w:rFonts w:eastAsia="Calibri" w:cs="Arial"/>
                <w:b/>
                <w:bCs/>
                <w:sz w:val="18"/>
                <w:szCs w:val="18"/>
              </w:rPr>
            </w:pPr>
            <w:r>
              <w:rPr>
                <w:rFonts w:eastAsia="Calibri" w:cs="Arial"/>
                <w:b/>
                <w:bCs/>
                <w:sz w:val="18"/>
                <w:szCs w:val="18"/>
              </w:rPr>
              <w:t>OLADE</w:t>
            </w:r>
          </w:p>
        </w:tc>
        <w:tc>
          <w:tcPr>
            <w:tcW w:w="4127" w:type="pct"/>
          </w:tcPr>
          <w:p w14:paraId="41EEDA00" w14:textId="7CAC4D37" w:rsidR="00CD7C2A" w:rsidRPr="00CF6841" w:rsidRDefault="00CD7C2A" w:rsidP="00336136">
            <w:pPr>
              <w:spacing w:after="120"/>
              <w:rPr>
                <w:rFonts w:eastAsia="Calibri" w:cs="Arial"/>
                <w:sz w:val="18"/>
                <w:szCs w:val="18"/>
              </w:rPr>
            </w:pPr>
            <w:r w:rsidRPr="0021142C">
              <w:rPr>
                <w:rFonts w:eastAsia="Calibri" w:cs="Arial"/>
                <w:sz w:val="18"/>
                <w:szCs w:val="18"/>
              </w:rPr>
              <w:t>Latin American Energy Organization</w:t>
            </w:r>
          </w:p>
        </w:tc>
      </w:tr>
      <w:tr w:rsidR="00CD7C2A" w:rsidRPr="00CF6841" w14:paraId="76132160" w14:textId="77777777" w:rsidTr="00A9512F">
        <w:tc>
          <w:tcPr>
            <w:tcW w:w="873" w:type="pct"/>
          </w:tcPr>
          <w:p w14:paraId="1A0FF731" w14:textId="77777777" w:rsidR="00CD7C2A" w:rsidRPr="00CF6841" w:rsidRDefault="00CD7C2A" w:rsidP="00336136">
            <w:pPr>
              <w:spacing w:after="120"/>
              <w:rPr>
                <w:rFonts w:eastAsia="Calibri" w:cs="Arial"/>
                <w:b/>
                <w:bCs/>
                <w:sz w:val="18"/>
                <w:szCs w:val="18"/>
                <w:highlight w:val="yellow"/>
              </w:rPr>
            </w:pPr>
            <w:r w:rsidRPr="00CF6841">
              <w:rPr>
                <w:rFonts w:eastAsia="Calibri" w:cs="Arial"/>
                <w:b/>
                <w:bCs/>
                <w:sz w:val="18"/>
                <w:szCs w:val="18"/>
              </w:rPr>
              <w:t>RE</w:t>
            </w:r>
          </w:p>
        </w:tc>
        <w:tc>
          <w:tcPr>
            <w:tcW w:w="4127" w:type="pct"/>
          </w:tcPr>
          <w:p w14:paraId="718AD4D0" w14:textId="77777777" w:rsidR="00CD7C2A" w:rsidRPr="00CF6841" w:rsidRDefault="00CD7C2A" w:rsidP="00336136">
            <w:pPr>
              <w:spacing w:after="120"/>
              <w:rPr>
                <w:rFonts w:eastAsia="Calibri" w:cs="Arial"/>
                <w:sz w:val="18"/>
                <w:szCs w:val="18"/>
              </w:rPr>
            </w:pPr>
            <w:r w:rsidRPr="00CF6841">
              <w:rPr>
                <w:rFonts w:eastAsia="Calibri" w:cs="Arial"/>
                <w:sz w:val="18"/>
                <w:szCs w:val="18"/>
              </w:rPr>
              <w:t>Renewable Energy</w:t>
            </w:r>
          </w:p>
        </w:tc>
      </w:tr>
      <w:tr w:rsidR="00CD7C2A" w:rsidRPr="00CF6841" w14:paraId="25776D43" w14:textId="77777777" w:rsidTr="00A9512F">
        <w:tc>
          <w:tcPr>
            <w:tcW w:w="873" w:type="pct"/>
          </w:tcPr>
          <w:p w14:paraId="56F45CC8" w14:textId="77777777" w:rsidR="00CD7C2A" w:rsidRPr="0021142C" w:rsidRDefault="00CD7C2A" w:rsidP="00336136">
            <w:pPr>
              <w:spacing w:after="120"/>
              <w:rPr>
                <w:rFonts w:eastAsia="Calibri" w:cs="Arial"/>
                <w:b/>
                <w:bCs/>
                <w:sz w:val="18"/>
                <w:szCs w:val="18"/>
              </w:rPr>
            </w:pPr>
            <w:r>
              <w:rPr>
                <w:rFonts w:eastAsia="Calibri" w:cs="Arial"/>
                <w:b/>
                <w:bCs/>
                <w:sz w:val="18"/>
                <w:szCs w:val="18"/>
              </w:rPr>
              <w:t>R&amp;D+I</w:t>
            </w:r>
          </w:p>
        </w:tc>
        <w:tc>
          <w:tcPr>
            <w:tcW w:w="4127" w:type="pct"/>
          </w:tcPr>
          <w:p w14:paraId="779836B3" w14:textId="19E72E80" w:rsidR="00CD7C2A" w:rsidRPr="00CF6841" w:rsidRDefault="00CD7C2A" w:rsidP="00336136">
            <w:pPr>
              <w:spacing w:after="120"/>
              <w:rPr>
                <w:rFonts w:eastAsia="Calibri" w:cs="Arial"/>
                <w:sz w:val="18"/>
                <w:szCs w:val="18"/>
              </w:rPr>
            </w:pPr>
            <w:r w:rsidRPr="0021142C">
              <w:rPr>
                <w:rFonts w:eastAsia="Calibri" w:cs="Arial"/>
                <w:sz w:val="18"/>
                <w:szCs w:val="18"/>
              </w:rPr>
              <w:t>Research, development</w:t>
            </w:r>
            <w:r w:rsidR="001C1D3D">
              <w:rPr>
                <w:rFonts w:eastAsia="Calibri" w:cs="Arial"/>
                <w:sz w:val="18"/>
                <w:szCs w:val="18"/>
              </w:rPr>
              <w:t>,</w:t>
            </w:r>
            <w:r w:rsidRPr="0021142C">
              <w:rPr>
                <w:rFonts w:eastAsia="Calibri" w:cs="Arial"/>
                <w:sz w:val="18"/>
                <w:szCs w:val="18"/>
              </w:rPr>
              <w:t xml:space="preserve"> and innovation</w:t>
            </w:r>
          </w:p>
        </w:tc>
      </w:tr>
      <w:tr w:rsidR="00CD7C2A" w:rsidRPr="00CF6841" w14:paraId="2759C2F0" w14:textId="77777777" w:rsidTr="00A9512F">
        <w:tc>
          <w:tcPr>
            <w:tcW w:w="873" w:type="pct"/>
          </w:tcPr>
          <w:p w14:paraId="71A75D1B" w14:textId="77777777" w:rsidR="00CD7C2A" w:rsidRPr="00966AA3" w:rsidRDefault="00CD7C2A" w:rsidP="00336136">
            <w:pPr>
              <w:spacing w:after="120"/>
              <w:rPr>
                <w:rFonts w:eastAsia="Calibri" w:cs="Arial"/>
                <w:b/>
                <w:bCs/>
                <w:sz w:val="18"/>
                <w:szCs w:val="18"/>
              </w:rPr>
            </w:pPr>
            <w:r>
              <w:rPr>
                <w:rFonts w:eastAsia="Calibri" w:cs="Arial"/>
                <w:b/>
                <w:bCs/>
                <w:sz w:val="18"/>
                <w:szCs w:val="18"/>
              </w:rPr>
              <w:t>RMER</w:t>
            </w:r>
          </w:p>
        </w:tc>
        <w:tc>
          <w:tcPr>
            <w:tcW w:w="4127" w:type="pct"/>
          </w:tcPr>
          <w:p w14:paraId="3CABD6BC" w14:textId="77777777" w:rsidR="00CD7C2A" w:rsidRPr="00CF6841" w:rsidRDefault="00CD7C2A" w:rsidP="00336136">
            <w:pPr>
              <w:spacing w:after="120"/>
              <w:rPr>
                <w:rFonts w:eastAsia="Calibri" w:cs="Arial"/>
                <w:sz w:val="18"/>
                <w:szCs w:val="18"/>
              </w:rPr>
            </w:pPr>
            <w:r w:rsidRPr="009B3225">
              <w:rPr>
                <w:rFonts w:eastAsia="Calibri" w:cs="Arial"/>
                <w:sz w:val="18"/>
                <w:szCs w:val="18"/>
              </w:rPr>
              <w:t>Regulation of the Regional Electricity Market</w:t>
            </w:r>
          </w:p>
        </w:tc>
      </w:tr>
      <w:tr w:rsidR="00CD7C2A" w:rsidRPr="00CF6841" w14:paraId="543D650A" w14:textId="77777777" w:rsidTr="00A9512F">
        <w:tc>
          <w:tcPr>
            <w:tcW w:w="873" w:type="pct"/>
          </w:tcPr>
          <w:p w14:paraId="39984675" w14:textId="77777777" w:rsidR="00CD7C2A" w:rsidRPr="009B3225" w:rsidRDefault="00CD7C2A" w:rsidP="00336136">
            <w:pPr>
              <w:spacing w:after="120"/>
              <w:rPr>
                <w:rFonts w:eastAsia="Calibri" w:cs="Arial"/>
                <w:b/>
                <w:bCs/>
                <w:sz w:val="18"/>
                <w:szCs w:val="18"/>
              </w:rPr>
            </w:pPr>
            <w:r>
              <w:rPr>
                <w:rFonts w:eastAsia="Calibri" w:cs="Arial"/>
                <w:b/>
                <w:bCs/>
                <w:sz w:val="18"/>
                <w:szCs w:val="18"/>
              </w:rPr>
              <w:t>RMER-PDC</w:t>
            </w:r>
          </w:p>
        </w:tc>
        <w:tc>
          <w:tcPr>
            <w:tcW w:w="4127" w:type="pct"/>
          </w:tcPr>
          <w:p w14:paraId="21D3C51B" w14:textId="71881A88" w:rsidR="00CD7C2A" w:rsidRPr="00CF6841" w:rsidRDefault="00CD7C2A" w:rsidP="00336136">
            <w:pPr>
              <w:spacing w:after="120"/>
              <w:rPr>
                <w:rFonts w:eastAsia="Calibri" w:cs="Arial"/>
                <w:sz w:val="18"/>
                <w:szCs w:val="18"/>
              </w:rPr>
            </w:pPr>
            <w:r w:rsidRPr="009B3225">
              <w:rPr>
                <w:rFonts w:eastAsia="Calibri" w:cs="Arial"/>
                <w:sz w:val="18"/>
                <w:szCs w:val="18"/>
              </w:rPr>
              <w:t>Regulation of the Regional Electricity Market and its Supplementary Detail Procedure</w:t>
            </w:r>
            <w:r>
              <w:rPr>
                <w:rFonts w:eastAsia="Calibri" w:cs="Arial"/>
                <w:sz w:val="18"/>
                <w:szCs w:val="18"/>
              </w:rPr>
              <w:t xml:space="preserve"> </w:t>
            </w:r>
          </w:p>
        </w:tc>
      </w:tr>
      <w:tr w:rsidR="00CD7C2A" w:rsidRPr="00CF6841" w14:paraId="0BD69D32" w14:textId="77777777" w:rsidTr="00A9512F">
        <w:tc>
          <w:tcPr>
            <w:tcW w:w="873" w:type="pct"/>
          </w:tcPr>
          <w:p w14:paraId="525A0E5E" w14:textId="77777777" w:rsidR="00CD7C2A" w:rsidRDefault="00CD7C2A" w:rsidP="00336136">
            <w:pPr>
              <w:spacing w:after="120"/>
              <w:rPr>
                <w:rFonts w:eastAsia="Calibri" w:cs="Arial"/>
                <w:b/>
                <w:bCs/>
                <w:sz w:val="18"/>
                <w:szCs w:val="18"/>
              </w:rPr>
            </w:pPr>
            <w:r>
              <w:rPr>
                <w:rFonts w:eastAsia="Calibri" w:cs="Arial"/>
                <w:b/>
                <w:bCs/>
                <w:sz w:val="18"/>
                <w:szCs w:val="18"/>
              </w:rPr>
              <w:t>RTMER</w:t>
            </w:r>
          </w:p>
        </w:tc>
        <w:tc>
          <w:tcPr>
            <w:tcW w:w="4127" w:type="pct"/>
          </w:tcPr>
          <w:p w14:paraId="63E60EE7" w14:textId="77777777" w:rsidR="00CD7C2A" w:rsidRPr="009B3225" w:rsidRDefault="00CD7C2A" w:rsidP="00336136">
            <w:pPr>
              <w:spacing w:after="120"/>
              <w:rPr>
                <w:rFonts w:eastAsia="Calibri" w:cs="Arial"/>
                <w:sz w:val="18"/>
                <w:szCs w:val="18"/>
              </w:rPr>
            </w:pPr>
            <w:r w:rsidRPr="00966AA3">
              <w:rPr>
                <w:rFonts w:eastAsia="Calibri" w:cs="Arial"/>
                <w:sz w:val="18"/>
                <w:szCs w:val="18"/>
              </w:rPr>
              <w:t>Transitional Regulations of the MER</w:t>
            </w:r>
          </w:p>
        </w:tc>
      </w:tr>
      <w:tr w:rsidR="00CD7C2A" w:rsidRPr="00CF6841" w14:paraId="466C1A29" w14:textId="77777777" w:rsidTr="00A9512F">
        <w:tc>
          <w:tcPr>
            <w:tcW w:w="873" w:type="pct"/>
          </w:tcPr>
          <w:p w14:paraId="43594282" w14:textId="77777777" w:rsidR="00CD7C2A" w:rsidRDefault="00CD7C2A" w:rsidP="00336136">
            <w:pPr>
              <w:spacing w:after="120"/>
              <w:rPr>
                <w:rFonts w:eastAsia="Calibri" w:cs="Arial"/>
                <w:b/>
                <w:bCs/>
                <w:sz w:val="18"/>
                <w:szCs w:val="18"/>
              </w:rPr>
            </w:pPr>
            <w:r>
              <w:rPr>
                <w:rFonts w:eastAsia="Calibri" w:cs="Arial"/>
                <w:b/>
                <w:bCs/>
                <w:sz w:val="18"/>
                <w:szCs w:val="18"/>
              </w:rPr>
              <w:t>RTR</w:t>
            </w:r>
          </w:p>
        </w:tc>
        <w:tc>
          <w:tcPr>
            <w:tcW w:w="4127" w:type="pct"/>
          </w:tcPr>
          <w:p w14:paraId="525949AC" w14:textId="0173EEAC" w:rsidR="00CD7C2A" w:rsidRPr="00966AA3" w:rsidRDefault="00CD7C2A" w:rsidP="00336136">
            <w:pPr>
              <w:spacing w:after="120"/>
              <w:rPr>
                <w:rFonts w:eastAsia="Calibri" w:cs="Arial"/>
                <w:sz w:val="18"/>
                <w:szCs w:val="18"/>
              </w:rPr>
            </w:pPr>
            <w:r w:rsidRPr="00966AA3">
              <w:rPr>
                <w:rFonts w:eastAsia="Calibri" w:cs="Arial"/>
                <w:sz w:val="18"/>
                <w:szCs w:val="18"/>
              </w:rPr>
              <w:t>Regional Transmission Network</w:t>
            </w:r>
            <w:r>
              <w:rPr>
                <w:rFonts w:eastAsia="Calibri" w:cs="Arial"/>
                <w:sz w:val="18"/>
                <w:szCs w:val="18"/>
              </w:rPr>
              <w:t xml:space="preserve"> </w:t>
            </w:r>
          </w:p>
        </w:tc>
      </w:tr>
      <w:tr w:rsidR="00CD7C2A" w:rsidRPr="00CF6841" w14:paraId="6F712002" w14:textId="77777777" w:rsidTr="00A9512F">
        <w:tc>
          <w:tcPr>
            <w:tcW w:w="873" w:type="pct"/>
          </w:tcPr>
          <w:p w14:paraId="3C346618" w14:textId="77777777" w:rsidR="00CD7C2A" w:rsidRPr="00CF6841" w:rsidRDefault="00CD7C2A" w:rsidP="00336136">
            <w:pPr>
              <w:spacing w:after="120"/>
              <w:rPr>
                <w:rFonts w:eastAsia="Calibri" w:cs="Arial"/>
                <w:b/>
                <w:bCs/>
                <w:sz w:val="18"/>
                <w:szCs w:val="18"/>
                <w:highlight w:val="yellow"/>
              </w:rPr>
            </w:pPr>
            <w:r w:rsidRPr="00966AA3">
              <w:rPr>
                <w:rFonts w:eastAsia="Calibri" w:cs="Arial"/>
                <w:b/>
                <w:bCs/>
                <w:sz w:val="18"/>
                <w:szCs w:val="18"/>
              </w:rPr>
              <w:t>SER</w:t>
            </w:r>
          </w:p>
        </w:tc>
        <w:tc>
          <w:tcPr>
            <w:tcW w:w="4127" w:type="pct"/>
          </w:tcPr>
          <w:p w14:paraId="413D8055" w14:textId="1E320EF1" w:rsidR="00CD7C2A" w:rsidRPr="00CF6841" w:rsidRDefault="00CD7C2A" w:rsidP="00336136">
            <w:pPr>
              <w:tabs>
                <w:tab w:val="left" w:pos="1230"/>
              </w:tabs>
              <w:spacing w:after="120"/>
              <w:rPr>
                <w:rFonts w:eastAsia="Calibri" w:cs="Arial"/>
                <w:sz w:val="18"/>
                <w:szCs w:val="18"/>
              </w:rPr>
            </w:pPr>
            <w:r w:rsidRPr="00966AA3">
              <w:rPr>
                <w:rFonts w:eastAsia="Calibri" w:cs="Arial"/>
                <w:sz w:val="18"/>
                <w:szCs w:val="18"/>
              </w:rPr>
              <w:t>Regional Electricity System</w:t>
            </w:r>
          </w:p>
        </w:tc>
      </w:tr>
      <w:tr w:rsidR="00CD7C2A" w:rsidRPr="00CF6841" w14:paraId="4FC70614" w14:textId="77777777" w:rsidTr="00A9512F">
        <w:tc>
          <w:tcPr>
            <w:tcW w:w="873" w:type="pct"/>
          </w:tcPr>
          <w:p w14:paraId="61E5D27A" w14:textId="77777777" w:rsidR="00CD7C2A" w:rsidRPr="00CF6841" w:rsidRDefault="00CD7C2A" w:rsidP="00336136">
            <w:pPr>
              <w:spacing w:after="120"/>
              <w:rPr>
                <w:rFonts w:eastAsia="Calibri" w:cs="Arial"/>
                <w:b/>
                <w:bCs/>
                <w:sz w:val="18"/>
                <w:szCs w:val="18"/>
                <w:highlight w:val="yellow"/>
              </w:rPr>
            </w:pPr>
            <w:r w:rsidRPr="00CF6841">
              <w:rPr>
                <w:rFonts w:eastAsia="Calibri" w:cs="Arial"/>
                <w:b/>
                <w:bCs/>
                <w:sz w:val="18"/>
                <w:szCs w:val="18"/>
              </w:rPr>
              <w:t>SICA</w:t>
            </w:r>
          </w:p>
        </w:tc>
        <w:tc>
          <w:tcPr>
            <w:tcW w:w="4127" w:type="pct"/>
          </w:tcPr>
          <w:p w14:paraId="48C885EF" w14:textId="6F1AC074" w:rsidR="00CD7C2A" w:rsidRPr="00CF6841" w:rsidRDefault="00CD7C2A" w:rsidP="00336136">
            <w:pPr>
              <w:spacing w:after="120"/>
              <w:rPr>
                <w:rFonts w:eastAsia="Calibri" w:cs="Arial"/>
                <w:sz w:val="18"/>
                <w:szCs w:val="18"/>
              </w:rPr>
            </w:pPr>
            <w:r w:rsidRPr="00CF6841">
              <w:rPr>
                <w:rFonts w:eastAsia="Calibri" w:cs="Arial"/>
                <w:sz w:val="18"/>
                <w:szCs w:val="18"/>
              </w:rPr>
              <w:t xml:space="preserve">Central American Integration System </w:t>
            </w:r>
          </w:p>
        </w:tc>
      </w:tr>
      <w:tr w:rsidR="00CD7C2A" w:rsidRPr="00CF6841" w14:paraId="093A821C" w14:textId="77777777" w:rsidTr="00A9512F">
        <w:tc>
          <w:tcPr>
            <w:tcW w:w="873" w:type="pct"/>
          </w:tcPr>
          <w:p w14:paraId="21410875" w14:textId="77777777" w:rsidR="00CD7C2A" w:rsidRPr="00CF6841" w:rsidRDefault="00CD7C2A" w:rsidP="00336136">
            <w:pPr>
              <w:spacing w:after="120"/>
              <w:rPr>
                <w:rFonts w:eastAsia="Calibri" w:cs="Arial"/>
                <w:b/>
                <w:bCs/>
                <w:sz w:val="18"/>
                <w:szCs w:val="18"/>
                <w:highlight w:val="yellow"/>
              </w:rPr>
            </w:pPr>
            <w:r w:rsidRPr="00CF6841">
              <w:rPr>
                <w:rFonts w:eastAsia="Calibri" w:cs="Arial"/>
                <w:b/>
                <w:bCs/>
                <w:sz w:val="18"/>
                <w:szCs w:val="18"/>
              </w:rPr>
              <w:t>SIEPAC</w:t>
            </w:r>
          </w:p>
        </w:tc>
        <w:tc>
          <w:tcPr>
            <w:tcW w:w="4127" w:type="pct"/>
          </w:tcPr>
          <w:p w14:paraId="56EE2627" w14:textId="0D6ECF7E" w:rsidR="00CD7C2A" w:rsidRPr="00CF6841" w:rsidRDefault="00CD7C2A" w:rsidP="00336136">
            <w:pPr>
              <w:spacing w:after="120"/>
              <w:rPr>
                <w:rFonts w:eastAsia="Calibri" w:cs="Arial"/>
                <w:sz w:val="18"/>
                <w:szCs w:val="18"/>
              </w:rPr>
            </w:pPr>
            <w:r w:rsidRPr="00CF6841">
              <w:rPr>
                <w:rFonts w:eastAsia="Calibri" w:cs="Arial"/>
                <w:sz w:val="18"/>
                <w:szCs w:val="18"/>
              </w:rPr>
              <w:t>Central American Electrical Interconnection System</w:t>
            </w:r>
            <w:r>
              <w:rPr>
                <w:rFonts w:eastAsia="Calibri" w:cs="Arial"/>
                <w:sz w:val="18"/>
                <w:szCs w:val="18"/>
              </w:rPr>
              <w:t xml:space="preserve"> </w:t>
            </w:r>
          </w:p>
        </w:tc>
      </w:tr>
      <w:tr w:rsidR="00CD7C2A" w:rsidRPr="00CF6841" w14:paraId="2E521151" w14:textId="77777777" w:rsidTr="00A9512F">
        <w:tc>
          <w:tcPr>
            <w:tcW w:w="873" w:type="pct"/>
          </w:tcPr>
          <w:p w14:paraId="249E1AC7" w14:textId="77777777" w:rsidR="00CD7C2A" w:rsidRPr="00CF6841" w:rsidRDefault="00CD7C2A" w:rsidP="00336136">
            <w:pPr>
              <w:spacing w:after="120"/>
              <w:rPr>
                <w:rFonts w:eastAsia="Calibri" w:cs="Arial"/>
                <w:b/>
                <w:bCs/>
                <w:sz w:val="18"/>
                <w:szCs w:val="18"/>
              </w:rPr>
            </w:pPr>
            <w:r w:rsidRPr="00966AA3">
              <w:rPr>
                <w:rFonts w:eastAsia="Calibri" w:cs="Arial"/>
                <w:b/>
                <w:bCs/>
                <w:sz w:val="18"/>
                <w:szCs w:val="18"/>
              </w:rPr>
              <w:t>SOs/MOs</w:t>
            </w:r>
          </w:p>
        </w:tc>
        <w:tc>
          <w:tcPr>
            <w:tcW w:w="4127" w:type="pct"/>
          </w:tcPr>
          <w:p w14:paraId="60761D62" w14:textId="77777777" w:rsidR="00CD7C2A" w:rsidRPr="00CF6841" w:rsidRDefault="00CD7C2A" w:rsidP="00336136">
            <w:pPr>
              <w:spacing w:after="120"/>
              <w:rPr>
                <w:rFonts w:eastAsia="Calibri" w:cs="Arial"/>
                <w:sz w:val="18"/>
                <w:szCs w:val="18"/>
              </w:rPr>
            </w:pPr>
            <w:r w:rsidRPr="00966AA3">
              <w:rPr>
                <w:rFonts w:eastAsia="Calibri" w:cs="Arial"/>
                <w:sz w:val="18"/>
                <w:szCs w:val="18"/>
              </w:rPr>
              <w:t>System Operators/Market Operators</w:t>
            </w:r>
          </w:p>
        </w:tc>
      </w:tr>
      <w:tr w:rsidR="00CD7C2A" w:rsidRPr="00CF6841" w14:paraId="29DA2CC4" w14:textId="77777777" w:rsidTr="00A9512F">
        <w:tc>
          <w:tcPr>
            <w:tcW w:w="873" w:type="pct"/>
          </w:tcPr>
          <w:p w14:paraId="1D6F2CAA" w14:textId="77777777" w:rsidR="00CD7C2A" w:rsidRPr="00CF6841" w:rsidRDefault="00CD7C2A" w:rsidP="00336136">
            <w:pPr>
              <w:spacing w:after="120"/>
              <w:rPr>
                <w:rFonts w:eastAsia="Calibri" w:cs="Arial"/>
                <w:b/>
                <w:bCs/>
                <w:sz w:val="18"/>
                <w:szCs w:val="18"/>
              </w:rPr>
            </w:pPr>
            <w:r>
              <w:rPr>
                <w:rFonts w:eastAsia="Calibri" w:cs="Arial"/>
                <w:b/>
                <w:bCs/>
                <w:sz w:val="18"/>
                <w:szCs w:val="18"/>
              </w:rPr>
              <w:t>TA</w:t>
            </w:r>
          </w:p>
        </w:tc>
        <w:tc>
          <w:tcPr>
            <w:tcW w:w="4127" w:type="pct"/>
          </w:tcPr>
          <w:p w14:paraId="4D11403C" w14:textId="77777777" w:rsidR="00CD7C2A" w:rsidRPr="00CF6841" w:rsidRDefault="00CD7C2A" w:rsidP="00336136">
            <w:pPr>
              <w:spacing w:after="120"/>
              <w:rPr>
                <w:rFonts w:eastAsia="Calibri" w:cs="Arial"/>
                <w:sz w:val="18"/>
                <w:szCs w:val="18"/>
              </w:rPr>
            </w:pPr>
            <w:r>
              <w:rPr>
                <w:rFonts w:eastAsia="Calibri" w:cs="Arial"/>
                <w:sz w:val="18"/>
                <w:szCs w:val="18"/>
              </w:rPr>
              <w:t xml:space="preserve">Technical Assistant </w:t>
            </w:r>
          </w:p>
        </w:tc>
      </w:tr>
      <w:tr w:rsidR="00803A37" w:rsidRPr="00CF6841" w14:paraId="233C54F0" w14:textId="77777777" w:rsidTr="00A9512F">
        <w:tc>
          <w:tcPr>
            <w:tcW w:w="873" w:type="pct"/>
          </w:tcPr>
          <w:p w14:paraId="171C0B22" w14:textId="5C935028" w:rsidR="00803A37" w:rsidRPr="00CF6841" w:rsidRDefault="00803A37" w:rsidP="00336136">
            <w:pPr>
              <w:spacing w:after="120"/>
              <w:rPr>
                <w:rFonts w:eastAsia="Calibri" w:cs="Arial"/>
                <w:b/>
                <w:bCs/>
                <w:sz w:val="18"/>
                <w:szCs w:val="18"/>
              </w:rPr>
            </w:pPr>
            <w:r w:rsidRPr="00803A37">
              <w:rPr>
                <w:rFonts w:eastAsia="Calibri" w:cs="Arial"/>
                <w:b/>
                <w:bCs/>
                <w:sz w:val="18"/>
                <w:szCs w:val="18"/>
              </w:rPr>
              <w:t>WRI</w:t>
            </w:r>
          </w:p>
        </w:tc>
        <w:tc>
          <w:tcPr>
            <w:tcW w:w="4127" w:type="pct"/>
          </w:tcPr>
          <w:p w14:paraId="29E3CD00" w14:textId="0BEA545A" w:rsidR="00803A37" w:rsidRPr="00CF6841" w:rsidRDefault="00803A37" w:rsidP="00336136">
            <w:pPr>
              <w:spacing w:after="120"/>
              <w:rPr>
                <w:rFonts w:eastAsia="Calibri" w:cs="Arial"/>
                <w:sz w:val="18"/>
                <w:szCs w:val="18"/>
              </w:rPr>
            </w:pPr>
            <w:r w:rsidRPr="00803A37">
              <w:rPr>
                <w:rFonts w:eastAsia="Calibri" w:cs="Arial"/>
                <w:sz w:val="18"/>
                <w:szCs w:val="18"/>
              </w:rPr>
              <w:t>World Resources Institute</w:t>
            </w:r>
          </w:p>
        </w:tc>
      </w:tr>
    </w:tbl>
    <w:p w14:paraId="711B3995" w14:textId="38807CE4" w:rsidR="001940C3" w:rsidRPr="00472B84" w:rsidRDefault="00983EFF" w:rsidP="00336136">
      <w:pPr>
        <w:pStyle w:val="TtuloTDC"/>
        <w:spacing w:before="0" w:after="160" w:line="240" w:lineRule="auto"/>
      </w:pPr>
      <w:r w:rsidRPr="00472B84">
        <w:t xml:space="preserve">Executive </w:t>
      </w:r>
      <w:r w:rsidR="00D34D52">
        <w:t>S</w:t>
      </w:r>
      <w:r w:rsidRPr="00472B84">
        <w:t>ummary</w:t>
      </w:r>
    </w:p>
    <w:p w14:paraId="770732C6" w14:textId="77777777" w:rsidR="00E05240" w:rsidRDefault="00E05240" w:rsidP="00D7795E">
      <w:pPr>
        <w:spacing w:line="240" w:lineRule="auto"/>
      </w:pPr>
    </w:p>
    <w:p w14:paraId="011A4B6D" w14:textId="05D27CB7" w:rsidR="00E05240" w:rsidRPr="00E05240" w:rsidRDefault="00E05240" w:rsidP="00D7795E">
      <w:pPr>
        <w:spacing w:line="240" w:lineRule="auto"/>
        <w:rPr>
          <w:b/>
          <w:bCs/>
        </w:rPr>
      </w:pPr>
      <w:r w:rsidRPr="00E05240">
        <w:rPr>
          <w:b/>
          <w:bCs/>
        </w:rPr>
        <w:t>Objectives of this Study</w:t>
      </w:r>
    </w:p>
    <w:p w14:paraId="767191FC" w14:textId="6A33BBE8" w:rsidR="00D7795E" w:rsidRDefault="00D7795E" w:rsidP="00D7795E">
      <w:pPr>
        <w:spacing w:line="240" w:lineRule="auto"/>
      </w:pPr>
      <w:r w:rsidRPr="00A4301A">
        <w:t>The purpose of this study is to analyze the Central American Renewable Energy (RE) market sector, its structure, current situation, trends, regulations, and sustainability, to provide recommendations for action for the EU and European Stakeholders.</w:t>
      </w:r>
      <w:r>
        <w:t xml:space="preserve"> The </w:t>
      </w:r>
      <w:r w:rsidRPr="002D189D">
        <w:t>study compiles information from secondary credible sources and virtual meetings with key stakeholders in this sector. Secondary sources offering recent data were used to make a structural and regulatory analysis of the national and regional electricity market</w:t>
      </w:r>
      <w:r>
        <w:t>s</w:t>
      </w:r>
      <w:r w:rsidRPr="002D189D">
        <w:t xml:space="preserve"> and the role of renewable energies in them. A prospective analysis of segments and subsectors with the </w:t>
      </w:r>
      <w:r>
        <w:t>best investment and commercial</w:t>
      </w:r>
      <w:r w:rsidRPr="002D189D">
        <w:t xml:space="preserve"> potential follows, based on current trends and the opinion of the consulted stakeholders.</w:t>
      </w:r>
    </w:p>
    <w:p w14:paraId="5DBC955C" w14:textId="3CDD2E35" w:rsidR="00E05240" w:rsidRPr="00E05240" w:rsidRDefault="00E05240" w:rsidP="00D7795E">
      <w:pPr>
        <w:spacing w:line="240" w:lineRule="auto"/>
        <w:rPr>
          <w:b/>
          <w:bCs/>
        </w:rPr>
      </w:pPr>
      <w:r w:rsidRPr="00E05240">
        <w:rPr>
          <w:b/>
          <w:bCs/>
        </w:rPr>
        <w:t>General Overview of the RE Sector in Central America</w:t>
      </w:r>
    </w:p>
    <w:p w14:paraId="7DFA7312" w14:textId="77777777" w:rsidR="00D7795E" w:rsidRPr="00123B66" w:rsidRDefault="00D7795E" w:rsidP="00D7795E">
      <w:pPr>
        <w:spacing w:line="240" w:lineRule="auto"/>
      </w:pPr>
      <w:r w:rsidRPr="001B3EFB">
        <w:t>The Central American region comprises an area of 522,760 km2</w:t>
      </w:r>
      <w:r>
        <w:t xml:space="preserve">. </w:t>
      </w:r>
      <w:r w:rsidRPr="00123B66">
        <w:t xml:space="preserve">The current report includes six countries: Costa Rica, El Salvador, Guatemala, Honduras, Nicaragua, and Panama. The region reached an aggregate Gross Domestic Product (GDP) of USD 254,9 billion </w:t>
      </w:r>
      <w:r>
        <w:t>in</w:t>
      </w:r>
      <w:r w:rsidRPr="00123B66">
        <w:t xml:space="preserve"> 2020 and its population reached 50.6 million inhabitants by the same year</w:t>
      </w:r>
      <w:r>
        <w:t>.</w:t>
      </w:r>
    </w:p>
    <w:p w14:paraId="5E81660D" w14:textId="192E59E7" w:rsidR="00D7795E" w:rsidRDefault="00D7795E" w:rsidP="00D7795E">
      <w:r>
        <w:t xml:space="preserve">There are two types of electricity markets in Central American: the national markets, and the regional market. The last one is frequently called the MER (Regional Electricity Market, by its acronym in Spanish). </w:t>
      </w:r>
      <w:r w:rsidR="00E21036">
        <w:t>W</w:t>
      </w:r>
      <w:r>
        <w:t xml:space="preserve">hen comparing total international transactions volume against total regional generation in the same year, MER only represents a mere </w:t>
      </w:r>
      <w:r w:rsidRPr="00B2065B">
        <w:t>4.11% of th</w:t>
      </w:r>
      <w:r>
        <w:t>e</w:t>
      </w:r>
      <w:r w:rsidRPr="00B2065B">
        <w:t xml:space="preserve"> total</w:t>
      </w:r>
      <w:r>
        <w:t xml:space="preserve">, highly concentrated between Guatemala and El Salvador. </w:t>
      </w:r>
      <w:r w:rsidR="00B33139">
        <w:t>There are several</w:t>
      </w:r>
      <w:r>
        <w:t xml:space="preserve"> technical bottlenecks for a larger utilization of the MER; but the most significant barrier is the impossibility to use it for medium and long-term contracts, given the current regulations</w:t>
      </w:r>
      <w:r w:rsidR="00D22E13">
        <w:t>. This has</w:t>
      </w:r>
      <w:r w:rsidR="00D22E13" w:rsidRPr="00D22E13">
        <w:t xml:space="preserve"> caused the threat of Guatemala to leave the MER, which, if it occurs, would </w:t>
      </w:r>
      <w:r w:rsidR="00D22E13">
        <w:t xml:space="preserve">happen in </w:t>
      </w:r>
      <w:r w:rsidR="00D22E13" w:rsidRPr="00D22E13">
        <w:t>2032.</w:t>
      </w:r>
    </w:p>
    <w:p w14:paraId="2534D94A" w14:textId="636BE6E6" w:rsidR="00D7795E" w:rsidRPr="005B68FC" w:rsidRDefault="00D7795E" w:rsidP="00D7795E">
      <w:r>
        <w:t>As for 2020</w:t>
      </w:r>
      <w:r w:rsidRPr="00E93FBE">
        <w:t xml:space="preserve">, there are </w:t>
      </w:r>
      <w:r w:rsidR="00E93FBE" w:rsidRPr="00E93FBE">
        <w:t>18</w:t>
      </w:r>
      <w:r w:rsidRPr="00E93FBE">
        <w:t>,</w:t>
      </w:r>
      <w:r w:rsidR="00E93FBE" w:rsidRPr="00E93FBE">
        <w:t>508</w:t>
      </w:r>
      <w:r w:rsidRPr="00E93FBE">
        <w:t xml:space="preserve"> MW of installed generation capacity in the region, while power generation reached </w:t>
      </w:r>
      <w:r w:rsidR="00E93FBE" w:rsidRPr="00E93FBE">
        <w:t>51</w:t>
      </w:r>
      <w:r w:rsidRPr="00E93FBE">
        <w:t>,</w:t>
      </w:r>
      <w:r w:rsidR="00E93FBE" w:rsidRPr="00E93FBE">
        <w:t>521</w:t>
      </w:r>
      <w:r w:rsidRPr="00E93FBE">
        <w:t xml:space="preserve"> GWh. Panama is the country</w:t>
      </w:r>
      <w:r>
        <w:t xml:space="preserve"> with the largest installed generation capacity (4,132 MW) in the region, of which 56.8% is renewable, followed by Guatemala (4,110 MW installed, 69.5% renewable). Costa Rica has the third largest installed capacity (3,537 MW) but shows the largest share of renewables (86.6% of total capacity). Honduras has 2,817 MW installed (65.4% renewable), followed by El Salvador with 2,312 MW installed (66.6% renewable), and finally Nicaragua with 1,600 MW installed (45.6% renewable).  </w:t>
      </w:r>
    </w:p>
    <w:p w14:paraId="7780BA2E" w14:textId="77777777" w:rsidR="00D7795E" w:rsidRDefault="00D7795E" w:rsidP="00D7795E">
      <w:r>
        <w:t>The largest national electricity market is Costa Rica (11,534 GWh in 2020), followed by Guatemala (11,122 GWh), Panama (10,721 GWh), Honduras (9,000 GWh), El Salvador (5,811 GWh), and Nicaragua (3,333 GWh). Maximum demand varies from 689 MW in Nicaragua to 1,969 MW in Panama. The electricity grid coverage of the population ranges from 83.1% in Honduras, to 99.4% in Costa Rica.</w:t>
      </w:r>
    </w:p>
    <w:p w14:paraId="20736FCC" w14:textId="77777777" w:rsidR="00D7795E" w:rsidRDefault="00D7795E" w:rsidP="00D7795E">
      <w:r>
        <w:t>Regarding energy generation technologies, hydroelectricity has the largest share in the largest markets: 65.9% of total installed capacity in Costa Rica, 44.9% in Panama, and 38.4% in Guatemala.  Nevertheless, in the remaining countries thermal takes the first place, while hydro takes the second or third position.  Hydro represents 24.8% of total capacity on El Salvador, 29.6% in Honduras, and only 9.8% in Nicaragua.  In the last country wind is over hydro, reaching 11.6% of total installed capacity.</w:t>
      </w:r>
    </w:p>
    <w:p w14:paraId="0794ACF8" w14:textId="77777777" w:rsidR="00D7795E" w:rsidRDefault="00D7795E" w:rsidP="00D7795E">
      <w:r>
        <w:t xml:space="preserve">In total, the RE and conventional technologies installed in the region amount to: Hydro (7,329 MW), Thermal (6,128 MW), Biomass (1,831 MW), Solar (1,264 MW), Wind (1,228 MW), Geothermal (708 MW), Biomass and Biogas (1,850 MW). Nevertheless, participation of the different RE technologies varies significantly from one country to other: Honduras has one of the largest worldwide participations of solar energy in the national grids (18%), while Costa Rica only has 0.15%. The reason of this disparity is because of regulations and energy policies.  Other differences are caused because of the availability of the natural resource involved: For instance, El Salvador has low availability of wind but large of geothermal and biomass. Panama has large availability of hydro but low geothermal and biomass. </w:t>
      </w:r>
    </w:p>
    <w:p w14:paraId="6DBC60FC" w14:textId="223BAE6A" w:rsidR="00D7795E" w:rsidRDefault="00E05240" w:rsidP="00D7795E">
      <w:r>
        <w:t>P</w:t>
      </w:r>
      <w:r w:rsidR="00D7795E">
        <w:t xml:space="preserve">articipation of private sector is affected by local policies and regulations.  Private participation in the electricity market (GWh generated per year) varies from 21% in Costa Rica (2020), </w:t>
      </w:r>
      <w:r w:rsidR="00D7795E" w:rsidRPr="00F811B9">
        <w:t xml:space="preserve">to </w:t>
      </w:r>
      <w:r w:rsidR="00D7795E">
        <w:t>83% in Guatemala and Honduras. In other countries, the participation of private sector in total generation is 74% in El Salvador, and 94% in Panama.</w:t>
      </w:r>
      <w:r w:rsidR="00D7795E" w:rsidRPr="00BB4C83">
        <w:t xml:space="preserve"> </w:t>
      </w:r>
      <w:r w:rsidR="00D7795E" w:rsidRPr="00F811B9">
        <w:t xml:space="preserve">Nicaragua </w:t>
      </w:r>
      <w:r w:rsidR="00D7795E">
        <w:t xml:space="preserve">is not clear in this regard, given </w:t>
      </w:r>
      <w:r w:rsidR="00D7795E" w:rsidRPr="00F811B9">
        <w:t>the lack of transparency on the real ownership of important assets</w:t>
      </w:r>
      <w:r w:rsidR="00D7795E">
        <w:t xml:space="preserve"> in this country</w:t>
      </w:r>
      <w:r w:rsidR="00D7795E" w:rsidRPr="00F811B9">
        <w:t>.</w:t>
      </w:r>
      <w:r w:rsidR="00D7795E">
        <w:t xml:space="preserve">  </w:t>
      </w:r>
    </w:p>
    <w:p w14:paraId="669ED486" w14:textId="2CA73A35" w:rsidR="00E21036" w:rsidRPr="00E21036" w:rsidRDefault="00E21036" w:rsidP="00D7795E">
      <w:pPr>
        <w:rPr>
          <w:b/>
          <w:bCs/>
        </w:rPr>
      </w:pPr>
      <w:r w:rsidRPr="00E21036">
        <w:rPr>
          <w:b/>
          <w:bCs/>
        </w:rPr>
        <w:t>Opportunities</w:t>
      </w:r>
    </w:p>
    <w:p w14:paraId="69A4843B" w14:textId="1CC0A88E" w:rsidR="00516CEC" w:rsidRDefault="00D7795E" w:rsidP="00516CEC">
      <w:r w:rsidRPr="004E7B3F">
        <w:t xml:space="preserve">From the revision of the regulatory framework of the different Central American countries, it is evident that there are many features promoting renewable energies. </w:t>
      </w:r>
      <w:r w:rsidR="00516CEC">
        <w:t xml:space="preserve">Central America still has a significant remaining potential to increase its installed capacity in various RE technologies, both </w:t>
      </w:r>
      <w:r w:rsidR="00AC5170">
        <w:t>for “</w:t>
      </w:r>
      <w:r w:rsidR="00516CEC">
        <w:t>traditional</w:t>
      </w:r>
      <w:r w:rsidR="00AC5170">
        <w:t>”</w:t>
      </w:r>
      <w:r w:rsidR="00516CEC">
        <w:t xml:space="preserve"> (such as hydro, geothermal and biomass), as well as the so-called “unconventional” (wind and solar)</w:t>
      </w:r>
      <w:r w:rsidR="00AC5170">
        <w:t xml:space="preserve"> technologies</w:t>
      </w:r>
      <w:r w:rsidR="00516CEC">
        <w:t xml:space="preserve">. However, investment opportunities are currently clearer for the latter (especially for solar photovoltaics), because of continuous technological advances that have significantly reduced their cost. In addition, opportunities for distributed generation and self-consumption through solar photovoltaic are especially significant, as well as for solar water heating for the residential, agro-industrial and tourism sectors.  </w:t>
      </w:r>
    </w:p>
    <w:p w14:paraId="6771B874" w14:textId="614224BA" w:rsidR="00516CEC" w:rsidRDefault="00516CEC" w:rsidP="00516CEC">
      <w:r>
        <w:t>Since solar and wind are intermittent energy sources, the region should match them with firm-capacity solutions, like small to medium-size hydro, low enthalpy thermal, demand-side technologies, and high-capacity batteries. The last one will require the definition of sustainable solutions at the end of their life cycle.  There is also a trend towards the incorporation of natural gas plants (from 300 to 500 MW each) in several countries, and a discussion on the future interconnection of Central America with neighboring countries (Mexico and Colombia).</w:t>
      </w:r>
      <w:r w:rsidR="00AC5170">
        <w:t xml:space="preserve"> </w:t>
      </w:r>
    </w:p>
    <w:p w14:paraId="10BE1EFF" w14:textId="795A25BD" w:rsidR="00516CEC" w:rsidRDefault="00516CEC" w:rsidP="00516CEC">
      <w:r>
        <w:t>Opportunities have been identified in: i) Small-scale solar-hydro hybrid systems (less than 10 MW) connected to the end of rural distribution networks, which are less vulnerable to the water deficit caused by climate change, ii) Bioenergy from agro-industrial waste, for thermal applications in the industry and specially by agro-industry sector in processes that require heat, iii) Low enthalpy geothermal energy (less than 150 °C), iv) Energy Efficiency technologies, especially in engines, air conditioners, compressed air, and efficient appliances, v) Green hydrogen, which raises a lot of interest but almost nothing has been done in the region (for instance, the potential utilization of the RE capacity</w:t>
      </w:r>
      <w:r w:rsidR="00AC5170">
        <w:t xml:space="preserve"> excess</w:t>
      </w:r>
      <w:r>
        <w:t xml:space="preserve"> in Costa Rica to </w:t>
      </w:r>
      <w:r w:rsidR="00AC5170">
        <w:t>produce</w:t>
      </w:r>
      <w:r>
        <w:t xml:space="preserve"> green hydrogen and export it to the EU), vi) Smart Grid and 5G technologies.</w:t>
      </w:r>
    </w:p>
    <w:p w14:paraId="51740AE9" w14:textId="43F479A3" w:rsidR="00516CEC" w:rsidRDefault="00516CEC" w:rsidP="00516CEC">
      <w:r>
        <w:t xml:space="preserve">Based on the most recent Energy Plans issued by authorities of the different countries, total additions of generation plants planned for the decade 2020-2030 amount to 6.56 GW, of which 3.76 GW would be RE (57%) and 2.80 GW thermal (43%, mainly natural gas). Of the RE share, 35% are supposed to be medium and large hydro, 26% solar, 23% wind, and 16% geothermal.  </w:t>
      </w:r>
      <w:r w:rsidR="00AC5170">
        <w:t>However</w:t>
      </w:r>
      <w:r>
        <w:t>, the</w:t>
      </w:r>
      <w:r w:rsidR="00AC5170">
        <w:t xml:space="preserve"> regional</w:t>
      </w:r>
      <w:r>
        <w:t xml:space="preserve"> experts interviewed</w:t>
      </w:r>
      <w:r w:rsidR="00AC5170">
        <w:t xml:space="preserve"> as part of this study</w:t>
      </w:r>
      <w:r>
        <w:t xml:space="preserve"> agreed in that most of those Energy Plans are partially obsolete, and that solar and wind will probably take a good portion of the planned share for large hydro because of strong environmental and social opposition to the last one, its comparative higher cost and changes on availability and distribution of water flows caused by climate change.</w:t>
      </w:r>
    </w:p>
    <w:p w14:paraId="4682CCE2" w14:textId="3DF61C32" w:rsidR="00E21036" w:rsidRPr="00E21036" w:rsidRDefault="00E21036" w:rsidP="00D7795E">
      <w:pPr>
        <w:rPr>
          <w:b/>
          <w:bCs/>
        </w:rPr>
      </w:pPr>
      <w:r w:rsidRPr="00E21036">
        <w:rPr>
          <w:b/>
          <w:bCs/>
        </w:rPr>
        <w:t>Barriers and Challenges</w:t>
      </w:r>
    </w:p>
    <w:p w14:paraId="6EE19AE8" w14:textId="3AD1EED9" w:rsidR="00D7795E" w:rsidRDefault="00AC5170" w:rsidP="00D7795E">
      <w:r>
        <w:t>T</w:t>
      </w:r>
      <w:r w:rsidR="00D7795E" w:rsidRPr="004E7B3F">
        <w:t xml:space="preserve">here are important barriers as well, mainly caused by the persistence of monopolistic policies </w:t>
      </w:r>
      <w:r w:rsidR="00D7795E" w:rsidRPr="00B32A8B">
        <w:t>in Costa Rica</w:t>
      </w:r>
      <w:r w:rsidR="00D7795E">
        <w:t xml:space="preserve"> and</w:t>
      </w:r>
      <w:r w:rsidR="00D7795E" w:rsidRPr="00B32A8B">
        <w:t xml:space="preserve"> Honduras</w:t>
      </w:r>
      <w:r w:rsidR="00D7795E">
        <w:t xml:space="preserve">, </w:t>
      </w:r>
      <w:r w:rsidR="00D7795E" w:rsidRPr="004E7B3F">
        <w:t xml:space="preserve">outdated or unfocused stimuli, and limited technical knowledge of new generation technologies. </w:t>
      </w:r>
      <w:r w:rsidR="00D7795E">
        <w:t>Several recommendations proposed by the interviewed experts to overcome these barriers were. i) Deeper consideration of demand-side technologies (e.g., smart grid) in en</w:t>
      </w:r>
      <w:r w:rsidR="00D7795E" w:rsidRPr="00333A07">
        <w:t>ergy policies and expansion plans</w:t>
      </w:r>
      <w:r w:rsidR="00D7795E">
        <w:t>, which traditionally focus on generation plans, ii) Promote and create incentives towards</w:t>
      </w:r>
      <w:r w:rsidR="00D7795E" w:rsidRPr="00CC22C7">
        <w:t xml:space="preserve"> innovative and competitive business models and models based on the provision of energy services instead of ownership of energy assets)</w:t>
      </w:r>
      <w:r w:rsidR="00D7795E">
        <w:t>, iii) Incentives</w:t>
      </w:r>
      <w:r w:rsidR="00D7795E" w:rsidRPr="00CC22C7">
        <w:t xml:space="preserve"> and policies aimed at emerging technologies such as green </w:t>
      </w:r>
      <w:r w:rsidR="00D7795E" w:rsidRPr="00333A07">
        <w:t>hydrogen, low enthalpy geothermal, smart grids, and energy storage</w:t>
      </w:r>
      <w:r w:rsidR="00D7795E">
        <w:t xml:space="preserve">, iv) Higher liberalization of </w:t>
      </w:r>
      <w:r w:rsidR="00D7795E" w:rsidRPr="002751BB">
        <w:t>generation, transmission, distribution, and/or commercialization of electricity in Costa Rica, Honduras and Nicaragua</w:t>
      </w:r>
      <w:r w:rsidR="00D7795E">
        <w:t>, v) simplifying red type for distribution generation and self-consumption projects, including individual and mini-grid</w:t>
      </w:r>
      <w:r w:rsidR="00D7795E" w:rsidRPr="002751BB">
        <w:t xml:space="preserve"> </w:t>
      </w:r>
      <w:r w:rsidR="00D7795E">
        <w:t xml:space="preserve">projects, vi) allow </w:t>
      </w:r>
      <w:r w:rsidR="00D7795E" w:rsidRPr="00937122">
        <w:t>medium and long-term transactions between public and private agents</w:t>
      </w:r>
      <w:r w:rsidR="00D7795E">
        <w:t xml:space="preserve"> in MER, vii) increase the capacity of deficient national</w:t>
      </w:r>
      <w:r w:rsidR="00D7795E" w:rsidRPr="003B533C">
        <w:t xml:space="preserve"> transmission and distribution networks</w:t>
      </w:r>
      <w:r w:rsidR="00D7795E">
        <w:t xml:space="preserve">, viii) </w:t>
      </w:r>
      <w:r w:rsidR="00D7795E" w:rsidRPr="003B533C">
        <w:t>update o</w:t>
      </w:r>
      <w:r w:rsidR="00D7795E">
        <w:t>f</w:t>
      </w:r>
      <w:r w:rsidR="00D7795E" w:rsidRPr="003B533C">
        <w:t xml:space="preserve"> incentives and mechanisms to grant them, for new technologies like electromobility, green hydrogen, low enthalpy geothermal energy, energy storage, smart grids, RE integration with 5G technologies, and microgrids, </w:t>
      </w:r>
      <w:r w:rsidR="00D7795E">
        <w:t xml:space="preserve">ix) Make alliances with organized stakeholders in the energy demand-side, especially with </w:t>
      </w:r>
      <w:r w:rsidR="00D7795E" w:rsidRPr="00616A06">
        <w:t>business associations in the industrial, commercial and construction sectors</w:t>
      </w:r>
      <w:r w:rsidR="00D7795E">
        <w:t xml:space="preserve">, who represent </w:t>
      </w:r>
      <w:r w:rsidR="00D7795E" w:rsidRPr="008449A7">
        <w:t>an important force for energy policies</w:t>
      </w:r>
      <w:r w:rsidR="00D7795E">
        <w:t xml:space="preserve"> </w:t>
      </w:r>
      <w:r w:rsidR="00D7795E" w:rsidRPr="008449A7">
        <w:t>change</w:t>
      </w:r>
      <w:r w:rsidR="00D7795E">
        <w:t>, x) Support</w:t>
      </w:r>
      <w:r w:rsidR="00D7795E" w:rsidRPr="008449A7">
        <w:t xml:space="preserve"> </w:t>
      </w:r>
      <w:r w:rsidR="00D7795E">
        <w:t xml:space="preserve">a </w:t>
      </w:r>
      <w:r w:rsidR="00D7795E" w:rsidRPr="008449A7">
        <w:t>greater independence of regulator</w:t>
      </w:r>
      <w:r w:rsidR="00D7795E">
        <w:t>y bodies</w:t>
      </w:r>
      <w:r w:rsidR="00D7795E" w:rsidRPr="008449A7">
        <w:t xml:space="preserve"> from central authorities (</w:t>
      </w:r>
      <w:r w:rsidR="00D7795E">
        <w:t xml:space="preserve">especially in </w:t>
      </w:r>
      <w:r w:rsidR="00D7795E" w:rsidRPr="008449A7">
        <w:t>Honduras</w:t>
      </w:r>
      <w:r w:rsidR="00D7795E">
        <w:t xml:space="preserve"> and</w:t>
      </w:r>
      <w:r w:rsidR="00D7795E" w:rsidRPr="008449A7">
        <w:t xml:space="preserve"> Guatemala), and </w:t>
      </w:r>
      <w:r w:rsidR="00D7795E">
        <w:t>of energy</w:t>
      </w:r>
      <w:r w:rsidR="00D7795E" w:rsidRPr="008449A7">
        <w:t xml:space="preserve"> planning</w:t>
      </w:r>
      <w:r w:rsidR="00D7795E">
        <w:t xml:space="preserve"> institutions,</w:t>
      </w:r>
      <w:r w:rsidR="00D7795E" w:rsidRPr="008449A7">
        <w:t xml:space="preserve"> so that utilities in monopolistic markets (Costa Rica, Honduras, Nicaragua) do not control </w:t>
      </w:r>
      <w:r w:rsidR="00D7795E">
        <w:t>expansion</w:t>
      </w:r>
      <w:r w:rsidR="00D7795E" w:rsidRPr="008449A7">
        <w:t xml:space="preserve"> plans</w:t>
      </w:r>
      <w:r w:rsidR="00D7795E">
        <w:t xml:space="preserve">, xi) </w:t>
      </w:r>
      <w:r w:rsidR="00D7795E" w:rsidRPr="008449A7">
        <w:t>Strengthening of independent eco-labeling for energy efficiency appliances and equipment</w:t>
      </w:r>
      <w:r w:rsidR="00D7795E">
        <w:t xml:space="preserve">, xii) </w:t>
      </w:r>
      <w:r w:rsidR="00D7795E" w:rsidRPr="008449A7">
        <w:t>Enhance regulations with technical specifications that promote quality and durability standards, so that price does not function as the single or most important purchase decision factor</w:t>
      </w:r>
      <w:r w:rsidR="00D7795E">
        <w:t xml:space="preserve">, xiii) </w:t>
      </w:r>
      <w:r w:rsidR="00D7795E" w:rsidRPr="00937122">
        <w:t>Honduran utility financial crises should be solved through the implementation of the provisions contemplated in the General Law of the Electricity Industry</w:t>
      </w:r>
      <w:r w:rsidR="00D7795E">
        <w:t xml:space="preserve">, xiv) </w:t>
      </w:r>
      <w:r w:rsidR="00D7795E" w:rsidRPr="00937122">
        <w:t>Incorporate regulations to promote greening of the construction and real estate sector, including modification to building codes</w:t>
      </w:r>
      <w:r w:rsidR="00D7795E">
        <w:t xml:space="preserve">, xv) </w:t>
      </w:r>
      <w:r w:rsidR="00D7795E" w:rsidRPr="00937122">
        <w:t>Improve resilience of national distribution networks through annular configurations instead of linear</w:t>
      </w:r>
      <w:r w:rsidR="00D7795E">
        <w:t xml:space="preserve">, xvi) </w:t>
      </w:r>
      <w:r w:rsidR="00D7795E" w:rsidRPr="00937122">
        <w:t>Disseminate information on new RE technologies (wind, solar, green hydrogen, distributed generation, electromobility, etc.) and EE technologies in the different economic sectors, both in the academic (technical and university education) and users’ circles (</w:t>
      </w:r>
      <w:r w:rsidR="00D7795E">
        <w:t>final</w:t>
      </w:r>
      <w:r w:rsidR="00D7795E" w:rsidRPr="00937122">
        <w:t xml:space="preserve"> users and local financial entities)</w:t>
      </w:r>
      <w:r w:rsidR="00D7795E">
        <w:t xml:space="preserve">, xvii) </w:t>
      </w:r>
      <w:r w:rsidR="00D7795E" w:rsidRPr="008D2B43">
        <w:t>Get the support of international cooperation agencies to develop pilot projects in new technologies, with high potential to be replicated</w:t>
      </w:r>
      <w:r w:rsidR="00D7795E">
        <w:t xml:space="preserve">. </w:t>
      </w:r>
    </w:p>
    <w:p w14:paraId="6D900CD8" w14:textId="4A3C8FAE" w:rsidR="00516CEC" w:rsidRPr="00261EDA" w:rsidRDefault="00261EDA" w:rsidP="00D7795E">
      <w:pPr>
        <w:rPr>
          <w:b/>
          <w:bCs/>
        </w:rPr>
      </w:pPr>
      <w:r w:rsidRPr="00261EDA">
        <w:rPr>
          <w:b/>
          <w:bCs/>
        </w:rPr>
        <w:t>Recommendations for Action for the EU and European Stakeholders</w:t>
      </w:r>
    </w:p>
    <w:p w14:paraId="6FCBDE5D" w14:textId="4F47CA8F" w:rsidR="00D7795E" w:rsidRDefault="00526E00" w:rsidP="00D7795E">
      <w:r>
        <w:t>So</w:t>
      </w:r>
      <w:r w:rsidR="00D7795E" w:rsidRPr="00032731">
        <w:t>me magnitudes of investment required for</w:t>
      </w:r>
      <w:r w:rsidR="00D7795E">
        <w:t xml:space="preserve"> prioritized market</w:t>
      </w:r>
      <w:r w:rsidR="00D7795E" w:rsidRPr="00032731">
        <w:t xml:space="preserve"> niches </w:t>
      </w:r>
      <w:r w:rsidR="00D7795E">
        <w:t>were</w:t>
      </w:r>
      <w:r w:rsidR="00D7795E" w:rsidRPr="00032731">
        <w:t xml:space="preserve"> estimated</w:t>
      </w:r>
      <w:r w:rsidR="00D7795E">
        <w:t xml:space="preserve"> for the decade: a. </w:t>
      </w:r>
      <w:r w:rsidR="00D7795E" w:rsidRPr="007F0BFF">
        <w:t>Solar Photovoltaic connected to the grid</w:t>
      </w:r>
      <w:r w:rsidR="00D7795E">
        <w:t xml:space="preserve">, </w:t>
      </w:r>
      <w:r w:rsidR="00D7795E" w:rsidRPr="007F0BFF">
        <w:t>USD 866 MM</w:t>
      </w:r>
      <w:r w:rsidR="00D7795E" w:rsidRPr="00B1095A">
        <w:t xml:space="preserve"> </w:t>
      </w:r>
      <w:r w:rsidR="00D7795E" w:rsidRPr="007F0BFF">
        <w:t>without including distributed generation</w:t>
      </w:r>
      <w:r w:rsidR="00D7795E">
        <w:t>, b. S</w:t>
      </w:r>
      <w:r w:rsidR="00D7795E" w:rsidRPr="007F0BFF">
        <w:t>olar</w:t>
      </w:r>
      <w:r w:rsidR="00D7795E">
        <w:t xml:space="preserve"> Thermal</w:t>
      </w:r>
      <w:r w:rsidR="00D7795E" w:rsidRPr="007F0BFF">
        <w:t xml:space="preserve"> for water heating</w:t>
      </w:r>
      <w:r w:rsidR="00D7795E">
        <w:t xml:space="preserve">, </w:t>
      </w:r>
      <w:r w:rsidR="00D7795E" w:rsidRPr="007F0BFF">
        <w:t>around USD 200 MM</w:t>
      </w:r>
      <w:r w:rsidR="00D7795E">
        <w:t xml:space="preserve">, c. </w:t>
      </w:r>
      <w:r w:rsidR="00D7795E" w:rsidRPr="007F0BFF">
        <w:t xml:space="preserve">Wind </w:t>
      </w:r>
      <w:r w:rsidR="00D7795E">
        <w:t>E</w:t>
      </w:r>
      <w:r w:rsidR="00D7795E" w:rsidRPr="007F0BFF">
        <w:t>nergy connected to the grid</w:t>
      </w:r>
      <w:r w:rsidR="00D7795E">
        <w:t>,</w:t>
      </w:r>
      <w:r w:rsidR="00D7795E" w:rsidRPr="007F0BFF">
        <w:t xml:space="preserve"> USD 1,747 MM</w:t>
      </w:r>
      <w:r w:rsidR="00D7795E">
        <w:t xml:space="preserve"> (n</w:t>
      </w:r>
      <w:r w:rsidR="00D7795E" w:rsidRPr="007F0BFF">
        <w:t>o consideration is made to offshore wind, because of the lack of data and interest in the region</w:t>
      </w:r>
      <w:r w:rsidR="00D7795E">
        <w:t xml:space="preserve">), d. </w:t>
      </w:r>
      <w:r w:rsidR="00D7795E" w:rsidRPr="007F0BFF">
        <w:t xml:space="preserve">High-capacity deep-cycle </w:t>
      </w:r>
      <w:r w:rsidR="00D7795E">
        <w:t>B</w:t>
      </w:r>
      <w:r w:rsidR="00D7795E" w:rsidRPr="007F0BFF">
        <w:t>attery</w:t>
      </w:r>
      <w:r w:rsidR="00D7795E">
        <w:t xml:space="preserve"> S</w:t>
      </w:r>
      <w:r w:rsidR="00D7795E" w:rsidRPr="007F0BFF">
        <w:t>torage</w:t>
      </w:r>
      <w:r w:rsidR="00D7795E">
        <w:t xml:space="preserve"> (</w:t>
      </w:r>
      <w:r w:rsidR="00D7795E" w:rsidRPr="007F0BFF">
        <w:t>no quantitative information available</w:t>
      </w:r>
      <w:r w:rsidR="00D7795E">
        <w:t xml:space="preserve">), e. </w:t>
      </w:r>
      <w:r w:rsidR="00D7795E" w:rsidRPr="007F0BFF">
        <w:t>Hydro</w:t>
      </w:r>
      <w:r w:rsidR="00D7795E">
        <w:t xml:space="preserve">, especially small and medium-size plants, </w:t>
      </w:r>
      <w:r w:rsidR="00D7795E" w:rsidRPr="007F0BFF">
        <w:t>USD 2,800 MM</w:t>
      </w:r>
      <w:r w:rsidR="00D7795E">
        <w:t xml:space="preserve">, f. </w:t>
      </w:r>
      <w:r w:rsidR="00D7795E" w:rsidRPr="007F0BFF">
        <w:t xml:space="preserve">Low </w:t>
      </w:r>
      <w:r w:rsidR="00D7795E">
        <w:t>E</w:t>
      </w:r>
      <w:r w:rsidR="00D7795E" w:rsidRPr="007F0BFF">
        <w:t xml:space="preserve">nthalpy </w:t>
      </w:r>
      <w:r w:rsidR="00D7795E">
        <w:t>G</w:t>
      </w:r>
      <w:r w:rsidR="00D7795E" w:rsidRPr="007F0BFF">
        <w:t xml:space="preserve">eothermal </w:t>
      </w:r>
      <w:r w:rsidR="00D7795E">
        <w:t>(</w:t>
      </w:r>
      <w:r w:rsidR="00D7795E" w:rsidRPr="007F0BFF">
        <w:t>no data available</w:t>
      </w:r>
      <w:r w:rsidR="00D7795E">
        <w:t>)</w:t>
      </w:r>
      <w:r w:rsidR="00D7795E" w:rsidRPr="007F0BFF">
        <w:t xml:space="preserve">, </w:t>
      </w:r>
      <w:r w:rsidR="00D7795E">
        <w:t xml:space="preserve">g. </w:t>
      </w:r>
      <w:r w:rsidR="00D7795E" w:rsidRPr="007F0BFF">
        <w:t>Bioenergy for thermal uses in the industry sector</w:t>
      </w:r>
      <w:r w:rsidR="00D7795E">
        <w:t>, estimated at</w:t>
      </w:r>
      <w:r w:rsidR="00D7795E" w:rsidRPr="007F0BFF">
        <w:t xml:space="preserve"> USD 500 MM</w:t>
      </w:r>
      <w:r w:rsidR="00D7795E">
        <w:t xml:space="preserve">, h. </w:t>
      </w:r>
      <w:r w:rsidR="00D7795E" w:rsidRPr="007F0BFF">
        <w:t xml:space="preserve">Energy </w:t>
      </w:r>
      <w:r w:rsidR="00D7795E">
        <w:t>E</w:t>
      </w:r>
      <w:r w:rsidR="00D7795E" w:rsidRPr="007F0BFF">
        <w:t>fficiency technologies</w:t>
      </w:r>
      <w:r w:rsidR="00D7795E">
        <w:t xml:space="preserve">, with potential savings of </w:t>
      </w:r>
      <w:r w:rsidR="00D7795E" w:rsidRPr="007F0BFF">
        <w:t>USD 968 MM/year</w:t>
      </w:r>
      <w:r w:rsidR="00D7795E">
        <w:t>, but</w:t>
      </w:r>
      <w:r w:rsidR="00D7795E" w:rsidRPr="007F0BFF">
        <w:t xml:space="preserve"> difficult to estimate the amount of investment </w:t>
      </w:r>
      <w:r w:rsidR="00D7795E">
        <w:t>required to achieve</w:t>
      </w:r>
      <w:r w:rsidR="00D7795E" w:rsidRPr="007F0BFF">
        <w:t xml:space="preserve"> this savings</w:t>
      </w:r>
      <w:r w:rsidR="00D7795E">
        <w:t xml:space="preserve">, i) </w:t>
      </w:r>
      <w:r w:rsidR="00D7795E" w:rsidRPr="007F0BFF">
        <w:t>Electromobility</w:t>
      </w:r>
      <w:r w:rsidR="00D7795E">
        <w:t xml:space="preserve"> (n</w:t>
      </w:r>
      <w:r w:rsidR="00D7795E" w:rsidRPr="007F0BFF">
        <w:t>ot calculated in this document since it corresponds to another sectoral study of the same EU cooperation program</w:t>
      </w:r>
      <w:r w:rsidR="00D7795E">
        <w:t>)</w:t>
      </w:r>
      <w:r w:rsidR="00261EDA">
        <w:t xml:space="preserve">, j) Manufacture of green hydrogen from RE sources to export to the EU and other international markets (no data available). </w:t>
      </w:r>
    </w:p>
    <w:p w14:paraId="7B1E8E0B" w14:textId="77777777" w:rsidR="00D7795E" w:rsidRDefault="00D7795E" w:rsidP="00D7795E">
      <w:r>
        <w:t>Regarding technology transfer and capital investment, al</w:t>
      </w:r>
      <w:r w:rsidRPr="00497E4B">
        <w:t xml:space="preserve">though the Central American countries are importers of </w:t>
      </w:r>
      <w:r>
        <w:t xml:space="preserve">RE </w:t>
      </w:r>
      <w:r w:rsidRPr="00497E4B">
        <w:t>technologies, the technical and financial success of these projects require the continuous training of local engineers and technicians to ensure the best selection, integration, installation, operation</w:t>
      </w:r>
      <w:r>
        <w:t>,</w:t>
      </w:r>
      <w:r w:rsidRPr="00497E4B">
        <w:t xml:space="preserve"> and maintenance. This must be accompanied by an updated regulation that guarantees the entry of RE and EE products </w:t>
      </w:r>
      <w:r>
        <w:t>not only based on their</w:t>
      </w:r>
      <w:r w:rsidRPr="00497E4B">
        <w:t xml:space="preserve"> price, but also on quality, extended warranties</w:t>
      </w:r>
      <w:r>
        <w:t>,</w:t>
      </w:r>
      <w:r w:rsidRPr="00497E4B">
        <w:t xml:space="preserve"> and manufacturer support. </w:t>
      </w:r>
      <w:r>
        <w:t>T</w:t>
      </w:r>
      <w:r w:rsidRPr="00497E4B">
        <w:t xml:space="preserve">echnologies in which </w:t>
      </w:r>
      <w:r>
        <w:t>several</w:t>
      </w:r>
      <w:r w:rsidRPr="00497E4B">
        <w:t xml:space="preserve"> stakeholders suggested a greater effort to provide knowledge transfer are green hydrogen, large energy storage in batteries, smart grid, low-enthalpy geothermal</w:t>
      </w:r>
      <w:r>
        <w:t>, and digital tools to integrate RE and EE measures in a single solution package.</w:t>
      </w:r>
    </w:p>
    <w:p w14:paraId="5E3C2A5D" w14:textId="77777777" w:rsidR="00D7795E" w:rsidRDefault="00D7795E" w:rsidP="00D7795E">
      <w:r w:rsidRPr="00F73094">
        <w:t>There is currently no source in Central America offering seed capital for clean energy ventures. There are some venture capital funds and angel investors, but they are aimed more at the IT sector. For a later stage of business development (growth capital, or project finance), there are s</w:t>
      </w:r>
      <w:r>
        <w:t>everal</w:t>
      </w:r>
      <w:r w:rsidRPr="00F73094">
        <w:t xml:space="preserve"> mezzanine funds and European development bank funds </w:t>
      </w:r>
      <w:r>
        <w:t>which</w:t>
      </w:r>
      <w:r w:rsidRPr="00F73094">
        <w:t xml:space="preserve"> offer this type of financing</w:t>
      </w:r>
      <w:r w:rsidRPr="00986BD7">
        <w:t xml:space="preserve"> </w:t>
      </w:r>
      <w:r w:rsidRPr="00F73094">
        <w:t xml:space="preserve">in the region. They normally invest starting at USD 1 MM, </w:t>
      </w:r>
      <w:r>
        <w:t>or more</w:t>
      </w:r>
      <w:r w:rsidRPr="00F73094">
        <w:t>. This minimum investment scale affects a good part of distributed generation and energy efficiency projects, which tend to be smaller than this threshold, especially when the sponsors are SME companies.</w:t>
      </w:r>
      <w:r>
        <w:t xml:space="preserve"> Therefore, there is a need for more </w:t>
      </w:r>
      <w:r w:rsidRPr="00F73094">
        <w:t>Impact Funds</w:t>
      </w:r>
      <w:r>
        <w:t xml:space="preserve"> (</w:t>
      </w:r>
      <w:r w:rsidRPr="00F73094">
        <w:t>risk capital type</w:t>
      </w:r>
      <w:r>
        <w:t>)</w:t>
      </w:r>
      <w:r w:rsidRPr="00F73094">
        <w:t xml:space="preserve">, that </w:t>
      </w:r>
      <w:r>
        <w:t xml:space="preserve">could </w:t>
      </w:r>
      <w:r w:rsidRPr="00F73094">
        <w:t>invest in the execution of pilot projects</w:t>
      </w:r>
      <w:r>
        <w:t xml:space="preserve"> in the market segments recommended in this study.</w:t>
      </w:r>
    </w:p>
    <w:p w14:paraId="4532210E" w14:textId="77777777" w:rsidR="00D7795E" w:rsidRPr="005100EC" w:rsidRDefault="00D7795E" w:rsidP="00D7795E">
      <w:r w:rsidRPr="00F73094">
        <w:t>In addition to the need to provide seed capital for the most innovative initiatives, long-term capital is required to finance the scaling-up and replication of projects, as well as for the renovation and expansion of old RE installations that are reaching their useful life.</w:t>
      </w:r>
      <w:r>
        <w:t xml:space="preserve"> </w:t>
      </w:r>
      <w:r w:rsidRPr="00C1673D">
        <w:t>Th</w:t>
      </w:r>
      <w:r>
        <w:t>e</w:t>
      </w:r>
      <w:r w:rsidRPr="00C1673D">
        <w:t xml:space="preserve"> following Finance Instruments and Mechanisms can be used</w:t>
      </w:r>
      <w:r>
        <w:t xml:space="preserve">: i) </w:t>
      </w:r>
      <w:r w:rsidRPr="005100EC">
        <w:t>Long-term credit lines with a green climate approach (mitigation and adaptation)</w:t>
      </w:r>
      <w:r>
        <w:t xml:space="preserve">, </w:t>
      </w:r>
      <w:r w:rsidRPr="005100EC">
        <w:t>offered to commercial banks and other Central American financial institutions by international development financial institutions</w:t>
      </w:r>
      <w:r>
        <w:t xml:space="preserve"> like</w:t>
      </w:r>
      <w:r w:rsidRPr="005100EC">
        <w:t xml:space="preserve"> the IDB Group, the IFC/World Bank, the Central American Bank for Economic Integration (CABEI), the Development Bank of Latin America (CAF), and the institutions that make up the EDFI (European Development Finance Institutions)</w:t>
      </w:r>
      <w:r>
        <w:t xml:space="preserve">; ii) </w:t>
      </w:r>
      <w:r w:rsidRPr="005100EC">
        <w:t>Equity and Quasi-equity funds, intended to complement the equity capital contributions of project developers and share their risk</w:t>
      </w:r>
      <w:r>
        <w:t>. I</w:t>
      </w:r>
      <w:r w:rsidRPr="005100EC">
        <w:t>nvestment modalities</w:t>
      </w:r>
      <w:r>
        <w:t xml:space="preserve"> can</w:t>
      </w:r>
      <w:r w:rsidRPr="005100EC">
        <w:t xml:space="preserve"> include common shares, preferred shares, or subordinated debt</w:t>
      </w:r>
      <w:r>
        <w:t xml:space="preserve">; iii) </w:t>
      </w:r>
      <w:r w:rsidRPr="005100EC">
        <w:t xml:space="preserve">Impact </w:t>
      </w:r>
      <w:r>
        <w:t xml:space="preserve">and Green </w:t>
      </w:r>
      <w:r w:rsidRPr="005100EC">
        <w:t>Bonds, financed by development banks, cooperation agencies or international non-profit foundations</w:t>
      </w:r>
      <w:r>
        <w:t xml:space="preserve">; iv) </w:t>
      </w:r>
      <w:r w:rsidRPr="005100EC">
        <w:t>Technical Assistance F</w:t>
      </w:r>
      <w:r>
        <w:t xml:space="preserve">acilities </w:t>
      </w:r>
      <w:r w:rsidRPr="005100EC">
        <w:t xml:space="preserve">for financial institutions and universities in association with private </w:t>
      </w:r>
      <w:r>
        <w:t xml:space="preserve">guilds and </w:t>
      </w:r>
      <w:r w:rsidRPr="005100EC">
        <w:t>companies, to develop studies and pilot projects that are scalable and replicable in the market niches that have been prioritized</w:t>
      </w:r>
      <w:r>
        <w:t xml:space="preserve">; v) </w:t>
      </w:r>
      <w:r w:rsidRPr="005100EC">
        <w:t>Guarantee Funds</w:t>
      </w:r>
      <w:r>
        <w:t xml:space="preserve"> and </w:t>
      </w:r>
      <w:r w:rsidRPr="005100EC">
        <w:t xml:space="preserve"> Parametric </w:t>
      </w:r>
      <w:r>
        <w:t>W</w:t>
      </w:r>
      <w:r w:rsidRPr="005100EC">
        <w:t xml:space="preserve">eather </w:t>
      </w:r>
      <w:r>
        <w:t>I</w:t>
      </w:r>
      <w:r w:rsidRPr="005100EC">
        <w:t xml:space="preserve">nsurance </w:t>
      </w:r>
      <w:r>
        <w:t>P</w:t>
      </w:r>
      <w:r w:rsidRPr="005100EC">
        <w:t>roducts aimed at mitigating the risk of generation in hydroelectric, solar or wind projects, caused by extraordinary deficits of the renewable resource</w:t>
      </w:r>
      <w:r>
        <w:t xml:space="preserve">; vi) </w:t>
      </w:r>
      <w:r w:rsidRPr="005100EC">
        <w:t>Carbon Markets</w:t>
      </w:r>
      <w:r>
        <w:t xml:space="preserve"> (</w:t>
      </w:r>
      <w:r w:rsidRPr="005100EC">
        <w:t>national</w:t>
      </w:r>
      <w:r>
        <w:t xml:space="preserve">, </w:t>
      </w:r>
      <w:r w:rsidRPr="005100EC">
        <w:t>regional</w:t>
      </w:r>
      <w:r>
        <w:t xml:space="preserve">, and international); vii) </w:t>
      </w:r>
      <w:r w:rsidRPr="005100EC">
        <w:t xml:space="preserve">Increased adoption of sustainability certifications </w:t>
      </w:r>
      <w:r>
        <w:t xml:space="preserve">and eco-labels </w:t>
      </w:r>
      <w:r w:rsidRPr="005100EC">
        <w:t>for buildings and energy-consumption equipment</w:t>
      </w:r>
      <w:r>
        <w:t>.</w:t>
      </w:r>
    </w:p>
    <w:p w14:paraId="140BD12B" w14:textId="77777777" w:rsidR="007A1FA0" w:rsidRPr="00472B84" w:rsidRDefault="007A1FA0" w:rsidP="00336136">
      <w:pPr>
        <w:shd w:val="clear" w:color="auto" w:fill="FDFDFD"/>
        <w:spacing w:line="240" w:lineRule="auto"/>
        <w:rPr>
          <w:szCs w:val="20"/>
        </w:rPr>
      </w:pPr>
    </w:p>
    <w:p w14:paraId="24641625" w14:textId="77777777" w:rsidR="00136CB4" w:rsidRPr="00472B84" w:rsidRDefault="00136CB4" w:rsidP="00336136">
      <w:pPr>
        <w:shd w:val="clear" w:color="auto" w:fill="FDFDFD"/>
        <w:spacing w:line="240" w:lineRule="auto"/>
        <w:rPr>
          <w:szCs w:val="20"/>
        </w:rPr>
        <w:sectPr w:rsidR="00136CB4" w:rsidRPr="00472B84" w:rsidSect="00ED55C0">
          <w:headerReference w:type="default" r:id="rId19"/>
          <w:footerReference w:type="default" r:id="rId20"/>
          <w:type w:val="continuous"/>
          <w:pgSz w:w="11906" w:h="16838" w:code="9"/>
          <w:pgMar w:top="1418" w:right="1699" w:bottom="1418" w:left="1699" w:header="113" w:footer="567" w:gutter="0"/>
          <w:pgNumType w:start="1"/>
          <w:cols w:space="720"/>
          <w:docGrid w:linePitch="360"/>
        </w:sectPr>
      </w:pPr>
    </w:p>
    <w:p w14:paraId="2EB253C6" w14:textId="06C75369" w:rsidR="001C65AA" w:rsidRPr="00472B84" w:rsidRDefault="005773A1" w:rsidP="00336136">
      <w:pPr>
        <w:pStyle w:val="Ttulo1"/>
        <w:spacing w:before="0" w:after="160" w:line="240" w:lineRule="auto"/>
      </w:pPr>
      <w:bookmarkStart w:id="1" w:name="_Toc90453956"/>
      <w:r w:rsidRPr="00472B84">
        <w:t>Introduction</w:t>
      </w:r>
      <w:bookmarkEnd w:id="1"/>
    </w:p>
    <w:p w14:paraId="0A448D9A" w14:textId="027F2DD2" w:rsidR="00197354" w:rsidRPr="00472B84" w:rsidRDefault="005773A1" w:rsidP="00336136">
      <w:pPr>
        <w:pStyle w:val="Ttulo2"/>
        <w:spacing w:before="0" w:line="240" w:lineRule="auto"/>
      </w:pPr>
      <w:bookmarkStart w:id="2" w:name="_Toc90453957"/>
      <w:r w:rsidRPr="00472B84">
        <w:t>Background</w:t>
      </w:r>
      <w:bookmarkEnd w:id="2"/>
    </w:p>
    <w:p w14:paraId="203A79BE" w14:textId="2AA1BA37" w:rsidR="00EB6170" w:rsidRPr="004507A2" w:rsidRDefault="00325AB6" w:rsidP="00336136">
      <w:pPr>
        <w:spacing w:line="240" w:lineRule="auto"/>
        <w:rPr>
          <w:rFonts w:ascii="Times New Roman" w:hAnsi="Times New Roman" w:cs="Times New Roman"/>
          <w:sz w:val="24"/>
          <w:szCs w:val="24"/>
          <w:lang w:eastAsia="es-CR"/>
        </w:rPr>
      </w:pPr>
      <w:r>
        <w:t xml:space="preserve">Central America has </w:t>
      </w:r>
      <w:r w:rsidR="00D7795E">
        <w:t xml:space="preserve">an </w:t>
      </w:r>
      <w:r>
        <w:t>abundan</w:t>
      </w:r>
      <w:r w:rsidR="00D7795E">
        <w:t>ce in</w:t>
      </w:r>
      <w:r>
        <w:t xml:space="preserve"> natural resources for producing renewable energy, an increasingly diversified matrix and a regional regulatory framework that expands market opportunities and taps on economies of scale. Over the past two decades, the region has attracted foreign investors with relative success, among them European energy firms, that have succeeded on doing business in Central America</w:t>
      </w:r>
      <w:r w:rsidR="00C13FEC">
        <w:t xml:space="preserve"> (Guatemala, Honduras, El Salvador, Nicaragua, Costa Rica</w:t>
      </w:r>
      <w:r w:rsidR="00FB7A28">
        <w:t>,</w:t>
      </w:r>
      <w:r w:rsidR="00C13FEC">
        <w:t xml:space="preserve"> and Panama)</w:t>
      </w:r>
      <w:r>
        <w:t>. Furthermore, technological advancements have created opportunities in several niche sectors where the region is well positioned</w:t>
      </w:r>
      <w:r w:rsidR="00FB7A28">
        <w:rPr>
          <w:rFonts w:ascii="Times New Roman" w:hAnsi="Times New Roman" w:cs="Times New Roman"/>
          <w:sz w:val="24"/>
          <w:szCs w:val="24"/>
          <w:lang w:eastAsia="es-CR"/>
        </w:rPr>
        <w:t>.</w:t>
      </w:r>
    </w:p>
    <w:p w14:paraId="00AF6E6C" w14:textId="6661ECC8" w:rsidR="005773A1" w:rsidRPr="00472B84" w:rsidRDefault="005773A1" w:rsidP="00336136">
      <w:pPr>
        <w:pStyle w:val="Ttulo2"/>
        <w:spacing w:before="0" w:line="240" w:lineRule="auto"/>
      </w:pPr>
      <w:bookmarkStart w:id="3" w:name="_Toc90453958"/>
      <w:r w:rsidRPr="00472B84">
        <w:t>Objectives</w:t>
      </w:r>
      <w:bookmarkEnd w:id="3"/>
    </w:p>
    <w:p w14:paraId="1EB11197" w14:textId="2D8C7BE2" w:rsidR="00EB6170" w:rsidRDefault="00EB6170" w:rsidP="00336136">
      <w:pPr>
        <w:spacing w:line="240" w:lineRule="auto"/>
      </w:pPr>
      <w:r w:rsidRPr="00EB6170">
        <w:t xml:space="preserve">As part of </w:t>
      </w:r>
      <w:r w:rsidR="00825B67">
        <w:t xml:space="preserve">a </w:t>
      </w:r>
      <w:r w:rsidR="00FB7A28">
        <w:t>previous</w:t>
      </w:r>
      <w:r w:rsidRPr="00EB6170">
        <w:t xml:space="preserve"> study carried out by AESA and EY, </w:t>
      </w:r>
      <w:r w:rsidR="00825B67">
        <w:t>three priority sectors were selected, for which corresponding</w:t>
      </w:r>
      <w:r w:rsidRPr="00EB6170">
        <w:t xml:space="preserve"> in-depth studies </w:t>
      </w:r>
      <w:r w:rsidR="00825B67">
        <w:t>were requested</w:t>
      </w:r>
      <w:r w:rsidRPr="00EB6170">
        <w:t>. The purpose of this study is to analyze the</w:t>
      </w:r>
      <w:r w:rsidR="00825B67">
        <w:t xml:space="preserve"> Central American Renewable Energy (RE)</w:t>
      </w:r>
      <w:r w:rsidRPr="00EB6170">
        <w:t xml:space="preserve"> market,</w:t>
      </w:r>
      <w:r w:rsidR="00825B67">
        <w:t xml:space="preserve"> its</w:t>
      </w:r>
      <w:r w:rsidRPr="00EB6170">
        <w:t xml:space="preserve"> </w:t>
      </w:r>
      <w:r w:rsidR="00825B67">
        <w:t>structure, current situation, trends</w:t>
      </w:r>
      <w:r w:rsidRPr="00EB6170">
        <w:t>, regulations, and sustainability</w:t>
      </w:r>
      <w:r w:rsidR="00825B67">
        <w:t xml:space="preserve">, to provide </w:t>
      </w:r>
      <w:r w:rsidR="00766BA1">
        <w:t>r</w:t>
      </w:r>
      <w:r w:rsidR="00766BA1" w:rsidRPr="00766BA1">
        <w:t>ecommendations for the EU and European Stakeholders</w:t>
      </w:r>
      <w:r w:rsidR="00766BA1">
        <w:t>.</w:t>
      </w:r>
    </w:p>
    <w:p w14:paraId="06CEB889" w14:textId="67C52A69" w:rsidR="005773A1" w:rsidRPr="00472B84" w:rsidRDefault="005773A1" w:rsidP="00336136">
      <w:pPr>
        <w:pStyle w:val="Ttulo2"/>
        <w:spacing w:before="0" w:line="240" w:lineRule="auto"/>
      </w:pPr>
      <w:bookmarkStart w:id="4" w:name="_Toc90453959"/>
      <w:r w:rsidRPr="00472B84">
        <w:t>Methodology</w:t>
      </w:r>
      <w:bookmarkEnd w:id="4"/>
    </w:p>
    <w:p w14:paraId="5BDA9A80" w14:textId="14ABCCCE" w:rsidR="00076ACE" w:rsidRDefault="000C2B64" w:rsidP="00076ACE">
      <w:pPr>
        <w:spacing w:line="240" w:lineRule="auto"/>
      </w:pPr>
      <w:r>
        <w:t xml:space="preserve">This study compiles information from </w:t>
      </w:r>
      <w:r w:rsidR="00D7795E">
        <w:t xml:space="preserve">trustworthy </w:t>
      </w:r>
      <w:r>
        <w:t xml:space="preserve">secondary sources and virtual meetings with key </w:t>
      </w:r>
      <w:r w:rsidR="00766BA1">
        <w:t>stakeholders</w:t>
      </w:r>
      <w:r>
        <w:t xml:space="preserve"> in th</w:t>
      </w:r>
      <w:r w:rsidR="00D7795E">
        <w:t>e RE</w:t>
      </w:r>
      <w:r>
        <w:t xml:space="preserve"> sector.</w:t>
      </w:r>
      <w:r w:rsidR="00076ACE">
        <w:t xml:space="preserve"> </w:t>
      </w:r>
      <w:r w:rsidR="00D7795E">
        <w:t xml:space="preserve">The </w:t>
      </w:r>
      <w:r w:rsidR="00076ACE">
        <w:t xml:space="preserve">recent data </w:t>
      </w:r>
      <w:r w:rsidR="00D7795E">
        <w:t xml:space="preserve">sets, offered by secondary sources, </w:t>
      </w:r>
      <w:r w:rsidR="00076ACE">
        <w:t>were used to make a s</w:t>
      </w:r>
      <w:r>
        <w:t>tructural and regulatory analysis of the national and regional electricity market</w:t>
      </w:r>
      <w:r w:rsidR="00D7795E">
        <w:t xml:space="preserve"> along with defining</w:t>
      </w:r>
      <w:r>
        <w:t xml:space="preserve"> the role of renewable energies</w:t>
      </w:r>
      <w:r w:rsidR="00C074C2">
        <w:t xml:space="preserve"> within the spectra</w:t>
      </w:r>
      <w:r>
        <w:t xml:space="preserve">. </w:t>
      </w:r>
    </w:p>
    <w:p w14:paraId="740D8ADF" w14:textId="1BB2A678" w:rsidR="000C2B64" w:rsidRDefault="000C2B64" w:rsidP="00076ACE">
      <w:pPr>
        <w:spacing w:line="240" w:lineRule="auto"/>
      </w:pPr>
      <w:r>
        <w:t>Th</w:t>
      </w:r>
      <w:r w:rsidR="00076ACE">
        <w:t>e</w:t>
      </w:r>
      <w:r>
        <w:t xml:space="preserve"> </w:t>
      </w:r>
      <w:r w:rsidR="00076ACE">
        <w:t xml:space="preserve">report starts with a description of </w:t>
      </w:r>
      <w:r>
        <w:t xml:space="preserve">both the </w:t>
      </w:r>
      <w:r w:rsidR="00076ACE">
        <w:t xml:space="preserve">national markets and the </w:t>
      </w:r>
      <w:r>
        <w:t>Regional Electricity Market (MER</w:t>
      </w:r>
      <w:r w:rsidR="00076ACE">
        <w:t xml:space="preserve"> </w:t>
      </w:r>
      <w:r w:rsidR="00076ACE" w:rsidRPr="00076ACE">
        <w:t>by its acronym in Spanish</w:t>
      </w:r>
      <w:r>
        <w:t>)</w:t>
      </w:r>
      <w:r w:rsidR="00076ACE">
        <w:t>.  Then, it is followed by an a</w:t>
      </w:r>
      <w:r>
        <w:t xml:space="preserve">nalysis of </w:t>
      </w:r>
      <w:r w:rsidR="00076ACE">
        <w:t xml:space="preserve">existing </w:t>
      </w:r>
      <w:r>
        <w:t>regulatory and technological barriers and recommendations to achieve sustainable development of the renewable energy market in the region</w:t>
      </w:r>
      <w:r w:rsidR="00076ACE">
        <w:t>.</w:t>
      </w:r>
    </w:p>
    <w:p w14:paraId="4906B6C0" w14:textId="45913AC8" w:rsidR="00076ACE" w:rsidRDefault="00076ACE" w:rsidP="00076ACE">
      <w:pPr>
        <w:spacing w:line="240" w:lineRule="auto"/>
      </w:pPr>
      <w:r>
        <w:t>A</w:t>
      </w:r>
      <w:r w:rsidR="00C074C2">
        <w:t>dditionally, this is followed by a</w:t>
      </w:r>
      <w:r>
        <w:t xml:space="preserve"> p</w:t>
      </w:r>
      <w:r w:rsidR="000C2B64">
        <w:t>rospective analysis of segments and subsectors with the greatest growth potential</w:t>
      </w:r>
      <w:r w:rsidR="00C074C2">
        <w:t>. This analysis is</w:t>
      </w:r>
      <w:r>
        <w:t xml:space="preserve"> based on the current trends and the opinion</w:t>
      </w:r>
      <w:r w:rsidR="00C074C2">
        <w:t>s</w:t>
      </w:r>
      <w:r>
        <w:t xml:space="preserve"> of the</w:t>
      </w:r>
      <w:r w:rsidR="00C074C2">
        <w:t xml:space="preserve"> </w:t>
      </w:r>
      <w:r>
        <w:t xml:space="preserve">stakeholders consulted. This group included nine experts from the </w:t>
      </w:r>
      <w:r w:rsidR="000E1CA1">
        <w:t xml:space="preserve">financial sector (development banks and mezzanine investors), RE consultants, representatives of regulatory institutions and government agencies, private investors, and supranational organizations. </w:t>
      </w:r>
    </w:p>
    <w:p w14:paraId="11F8E8EC" w14:textId="68569462" w:rsidR="005773A1" w:rsidRPr="00472B84" w:rsidRDefault="002A2736" w:rsidP="00336136">
      <w:pPr>
        <w:spacing w:line="240" w:lineRule="auto"/>
      </w:pPr>
      <w:r>
        <w:t>Finally, several recommendations for actions were formulated</w:t>
      </w:r>
      <w:r w:rsidR="007506B1">
        <w:t xml:space="preserve"> in several sections of the document</w:t>
      </w:r>
      <w:r>
        <w:t>.</w:t>
      </w:r>
    </w:p>
    <w:p w14:paraId="14D8A907" w14:textId="56D92159" w:rsidR="005773A1" w:rsidRPr="00472B84" w:rsidRDefault="005773A1" w:rsidP="00336136">
      <w:pPr>
        <w:spacing w:line="240" w:lineRule="auto"/>
      </w:pPr>
    </w:p>
    <w:p w14:paraId="62E128D3" w14:textId="72E80A28" w:rsidR="005773A1" w:rsidRPr="00472B84" w:rsidRDefault="005773A1" w:rsidP="00336136">
      <w:pPr>
        <w:spacing w:line="240" w:lineRule="auto"/>
      </w:pPr>
    </w:p>
    <w:p w14:paraId="4ADA82C3" w14:textId="3BD751C6" w:rsidR="005773A1" w:rsidRPr="00472B84" w:rsidRDefault="005773A1" w:rsidP="00336136">
      <w:pPr>
        <w:spacing w:line="240" w:lineRule="auto"/>
      </w:pPr>
    </w:p>
    <w:p w14:paraId="4E68F817" w14:textId="78BEDC7C" w:rsidR="005773A1" w:rsidRPr="00472B84" w:rsidRDefault="005773A1" w:rsidP="00336136">
      <w:pPr>
        <w:pStyle w:val="Ttulo1"/>
        <w:spacing w:before="0" w:after="160" w:line="240" w:lineRule="auto"/>
      </w:pPr>
      <w:bookmarkStart w:id="5" w:name="_Toc90453960"/>
      <w:r w:rsidRPr="00472B84">
        <w:t>Structural and Regulatory Analysis</w:t>
      </w:r>
      <w:bookmarkEnd w:id="5"/>
    </w:p>
    <w:p w14:paraId="0165B63A" w14:textId="77777777" w:rsidR="008F09B0" w:rsidRPr="00472B84" w:rsidRDefault="008F09B0" w:rsidP="00336136">
      <w:pPr>
        <w:pStyle w:val="Ttulo2"/>
        <w:spacing w:before="0" w:line="240" w:lineRule="auto"/>
      </w:pPr>
      <w:bookmarkStart w:id="6" w:name="_Toc90453961"/>
      <w:r w:rsidRPr="00472B84">
        <w:t>Economic context of Central American electricity sector</w:t>
      </w:r>
      <w:bookmarkEnd w:id="6"/>
    </w:p>
    <w:p w14:paraId="33562949" w14:textId="3A707C6A" w:rsidR="00234466" w:rsidRDefault="005F703F" w:rsidP="00336136">
      <w:pPr>
        <w:spacing w:line="240" w:lineRule="auto"/>
        <w:rPr>
          <w:rFonts w:ascii="Times New Roman" w:eastAsia="Times New Roman" w:hAnsi="Times New Roman" w:cs="Times New Roman"/>
          <w:sz w:val="24"/>
          <w:szCs w:val="24"/>
          <w:lang w:eastAsia="es-MX"/>
        </w:rPr>
      </w:pPr>
      <w:r w:rsidRPr="005F703F">
        <w:t>The Central American region comprises an area of 522,760 km2 and includes seven countries: Belize, Costa Rica, El Salvador, Guatemala, Honduras, Nicaragua, and Panama</w:t>
      </w:r>
      <w:r w:rsidRPr="005F703F">
        <w:rPr>
          <w:rFonts w:ascii="Times New Roman" w:eastAsia="Times New Roman" w:hAnsi="Times New Roman" w:cs="Times New Roman"/>
          <w:sz w:val="24"/>
          <w:szCs w:val="24"/>
          <w:lang w:eastAsia="es-MX"/>
        </w:rPr>
        <w:t xml:space="preserve">. </w:t>
      </w:r>
      <w:r w:rsidR="00234466" w:rsidRPr="00234466">
        <w:t>Nevertheless,</w:t>
      </w:r>
      <w:r w:rsidR="00234466">
        <w:t xml:space="preserve"> because of its historic and cultural tradition Belize is frequently excluded from the group and considered a Caribbean country.  </w:t>
      </w:r>
      <w:r w:rsidR="00C074C2">
        <w:t xml:space="preserve">For this matter, </w:t>
      </w:r>
      <w:r w:rsidR="00234466">
        <w:t>Belize is not considered.</w:t>
      </w:r>
    </w:p>
    <w:p w14:paraId="522A9340" w14:textId="6A860AB8" w:rsidR="005F703F" w:rsidRDefault="005F703F" w:rsidP="00336136">
      <w:pPr>
        <w:spacing w:line="240" w:lineRule="auto"/>
      </w:pPr>
      <w:r w:rsidRPr="005F703F">
        <w:t>The region reached an aggregate Gross Domestic Product (GDP) of USD 254,9 billion by 2020</w:t>
      </w:r>
      <w:r w:rsidRPr="005F703F">
        <w:rPr>
          <w:vertAlign w:val="superscript"/>
        </w:rPr>
        <w:footnoteReference w:id="2"/>
      </w:r>
      <w:r w:rsidRPr="005F703F">
        <w:t xml:space="preserve"> and its population reached approximately 50.6 million inhabitants by the same year</w:t>
      </w:r>
      <w:r w:rsidRPr="005F703F">
        <w:rPr>
          <w:vertAlign w:val="superscript"/>
        </w:rPr>
        <w:footnoteReference w:id="3"/>
      </w:r>
      <w:r w:rsidRPr="005F703F">
        <w:t>. A detailed overview of each country is presented below:</w:t>
      </w:r>
    </w:p>
    <w:p w14:paraId="6E7C9535" w14:textId="5138B1FB" w:rsidR="00F63E8A" w:rsidRPr="00472B84" w:rsidRDefault="00F63E8A" w:rsidP="00336136">
      <w:pPr>
        <w:spacing w:line="240" w:lineRule="auto"/>
      </w:pPr>
      <w:r w:rsidRPr="00AB7C5A">
        <w:rPr>
          <w:u w:val="single"/>
        </w:rPr>
        <w:t>Guatemala</w:t>
      </w:r>
      <w:r w:rsidRPr="00472B84">
        <w:t xml:space="preserve"> </w:t>
      </w:r>
      <w:r w:rsidR="005F703F" w:rsidRPr="005F703F">
        <w:t>is the largest economy with the largest population on the region, though their GDP per capita is less than the region average. Almost half of the population lives below the poverty line. It is the country with the highest proportion of rural inhabitants. The country has traditionally experienced economic stability due to a combination of prudent fiscal management, inflation targeting, and a managed floating exchange rate. Low central government revenues (11 % of GDP on average in recent years and an estimated 9.7 % in 2019</w:t>
      </w:r>
      <w:r w:rsidR="00F73500">
        <w:rPr>
          <w:rStyle w:val="Refdenotaalpie"/>
        </w:rPr>
        <w:footnoteReference w:id="4"/>
      </w:r>
      <w:r w:rsidR="005F703F" w:rsidRPr="005F703F">
        <w:t>) limit capacities for public investments and restrict both the quality and coverage of basic public services, from education and health to access to water. This, in turn, perpetuates a lack of incentive in the economy for formality and tax paying.</w:t>
      </w:r>
    </w:p>
    <w:p w14:paraId="3C7500A0" w14:textId="1166F863" w:rsidR="00F63E8A" w:rsidRPr="00472B84" w:rsidRDefault="00F63E8A" w:rsidP="00336136">
      <w:pPr>
        <w:spacing w:line="240" w:lineRule="auto"/>
      </w:pPr>
      <w:r w:rsidRPr="00AB7C5A">
        <w:rPr>
          <w:u w:val="single"/>
        </w:rPr>
        <w:t>Honduras</w:t>
      </w:r>
      <w:r w:rsidRPr="00472B84">
        <w:t xml:space="preserve"> </w:t>
      </w:r>
      <w:r w:rsidR="005F703F" w:rsidRPr="005F703F">
        <w:t>ranks as one of the smallest economies but is second in the number of inhabitants in the Central American region. Honduras had registered the second highest economic growth rates in Central America, only behind Panama. The country’s GDP growth reached 4.8 percent in 2017, 3.7 percent in 2018 and 2.7 percent in 2019</w:t>
      </w:r>
      <w:r w:rsidR="00F73500">
        <w:rPr>
          <w:rStyle w:val="Refdenotaalpie"/>
        </w:rPr>
        <w:footnoteReference w:id="5"/>
      </w:r>
      <w:r w:rsidR="005F703F" w:rsidRPr="005F703F">
        <w:t xml:space="preserve"> , above the average in Central America and well above the average in Latin America and the Caribbean (LAC). The country has multiple strengths with the potential for a faster growth and higher shared prosperity</w:t>
      </w:r>
      <w:r w:rsidR="00C074C2">
        <w:t xml:space="preserve"> due to,</w:t>
      </w:r>
      <w:r w:rsidR="005F703F" w:rsidRPr="005F703F">
        <w:t xml:space="preserve"> its strategic location, a growing industrial base, ongoing efforts to diversify its exports, and a young and growing population.</w:t>
      </w:r>
    </w:p>
    <w:p w14:paraId="0AA4D985" w14:textId="3C6EE02E" w:rsidR="00F63E8A" w:rsidRPr="00472B84" w:rsidRDefault="00F63E8A" w:rsidP="00336136">
      <w:pPr>
        <w:spacing w:line="240" w:lineRule="auto"/>
      </w:pPr>
      <w:r w:rsidRPr="00AB7C5A">
        <w:rPr>
          <w:u w:val="single"/>
        </w:rPr>
        <w:t xml:space="preserve">El Salvador </w:t>
      </w:r>
      <w:r w:rsidR="005F703F" w:rsidRPr="005F703F">
        <w:t>is the country with the smallest geographic size on the region. Despite this, it ranks third (after Guatemala and Honduras) in terms of the number of inhabitants. Its GDP per capita is close to the Central American average. GDP growth in El Salvador reached 2.3 percent in 2019, but the country has been suffering from persistently low levels of economic growth. Annual GDP growth has exceeded 3 percent only twice since 2000 and averaged just 2.3 percent in recent years. The country had recently registered a moderate poverty reduction. The poverty rate (based on a US</w:t>
      </w:r>
      <w:r w:rsidR="00D34D52">
        <w:t>D</w:t>
      </w:r>
      <w:r w:rsidR="005F703F" w:rsidRPr="005F703F">
        <w:t>5.5 per person per day poverty line) declined from 39 percent in 2007 to 29 percent in 2017</w:t>
      </w:r>
      <w:r w:rsidR="00F73500">
        <w:rPr>
          <w:rStyle w:val="Refdenotaalpie"/>
        </w:rPr>
        <w:footnoteReference w:id="6"/>
      </w:r>
      <w:r w:rsidR="005F703F" w:rsidRPr="005F703F">
        <w:t xml:space="preserve"> . Extreme poverty (US</w:t>
      </w:r>
      <w:r w:rsidR="00D34D52">
        <w:t>D</w:t>
      </w:r>
      <w:r w:rsidR="005F703F" w:rsidRPr="005F703F">
        <w:t xml:space="preserve">3.2 per person per day) also declined from 15 percent to 8.5 percent over the same period. El Salvador also became a more equal country in recent years, with the second-highest level of equality in Latin America and the Caribbean, after Uruguay, on par with the world average. Inequality measured </w:t>
      </w:r>
      <w:r w:rsidR="00C074C2">
        <w:t>with</w:t>
      </w:r>
      <w:r w:rsidR="005F703F" w:rsidRPr="005F703F">
        <w:t xml:space="preserve"> the Gini coefficient– declined from 0.51 in 2001 to 0.38 in 2018</w:t>
      </w:r>
      <w:r w:rsidR="005F703F">
        <w:t>.</w:t>
      </w:r>
    </w:p>
    <w:p w14:paraId="71398999" w14:textId="21DC2F6F" w:rsidR="00F63E8A" w:rsidRPr="00472B84" w:rsidRDefault="00F63E8A" w:rsidP="00336136">
      <w:pPr>
        <w:spacing w:line="240" w:lineRule="auto"/>
      </w:pPr>
      <w:r w:rsidRPr="00AB7C5A">
        <w:rPr>
          <w:u w:val="single"/>
        </w:rPr>
        <w:t xml:space="preserve">Nicaragua </w:t>
      </w:r>
      <w:r w:rsidR="00F73500" w:rsidRPr="00F73500">
        <w:t xml:space="preserve">has the largest </w:t>
      </w:r>
      <w:r w:rsidR="008236A5">
        <w:t xml:space="preserve">territory </w:t>
      </w:r>
      <w:r w:rsidR="00F73500" w:rsidRPr="00F73500">
        <w:t xml:space="preserve">but its GDP per capita is the lowest in the region. It has the lowest level of electricity-service coverage at the national level.  Nicaragua is still one of Latin America’s least developed countries, where access to basic services is a daily challenge. Poverty – defined as living with an income below </w:t>
      </w:r>
      <w:r w:rsidR="00D34D52">
        <w:t>USD</w:t>
      </w:r>
      <w:r w:rsidR="00F73500" w:rsidRPr="00F73500">
        <w:t>3.2 per person per day – is estimated to have increased from 13.5 % in 2019 to 14.7 % in 2020, pushing approximately 90,000 people into poverty. Remittances, which increased 12.1% in 2019, have supported household consumption and mitigated larger poverty increases. The pandemic had a negative impact on remittances at the start of the crisis, prompting an average decline of 3.0 % between March and April 2020</w:t>
      </w:r>
      <w:r w:rsidR="00C074C2">
        <w:t>. H</w:t>
      </w:r>
      <w:r w:rsidR="00F73500" w:rsidRPr="00F73500">
        <w:t>owever, inflows quickly recovered, ending in an annual growth rate of 10 % for 2020</w:t>
      </w:r>
      <w:r w:rsidR="00EB387A">
        <w:t>.</w:t>
      </w:r>
      <w:r w:rsidR="00F73500" w:rsidRPr="00F73500">
        <w:rPr>
          <w:vertAlign w:val="superscript"/>
        </w:rPr>
        <w:footnoteReference w:id="7"/>
      </w:r>
    </w:p>
    <w:p w14:paraId="70A0FE6E" w14:textId="16B4B9AF" w:rsidR="00315ECA" w:rsidRPr="00472B84" w:rsidRDefault="00315ECA" w:rsidP="00336136">
      <w:pPr>
        <w:spacing w:line="240" w:lineRule="auto"/>
      </w:pPr>
      <w:r w:rsidRPr="00AB7C5A">
        <w:rPr>
          <w:u w:val="single"/>
        </w:rPr>
        <w:t xml:space="preserve">Costa Rica </w:t>
      </w:r>
      <w:r w:rsidR="00F73500" w:rsidRPr="00F73500">
        <w:t xml:space="preserve">is one of the leading economies of Central America and its GDP per capita is one of the highest in the region. It is considered an upper middle-income country, which has shown steady economic growth over the past 25 years. This growth resulted from an outward- oriented strategy, based on the openness to foreign investment and gradual trade liberalization. Costa Rica is also a global leader for its environmental policies and accomplishments, which have helped the country build its </w:t>
      </w:r>
      <w:r w:rsidR="00C91C98">
        <w:t>g</w:t>
      </w:r>
      <w:r w:rsidR="00F73500" w:rsidRPr="00F73500">
        <w:t xml:space="preserve">reen </w:t>
      </w:r>
      <w:r w:rsidR="00C91C98">
        <w:t>t</w:t>
      </w:r>
      <w:r w:rsidR="00F73500" w:rsidRPr="00F73500">
        <w:t>rademark. The pioneering Payments for Environmental Services (PES) program has been successful in promoting forest and biodiversity conservation; making Costa Rica the only tropical country in the world to have reversed deforestation. The combination of political stability, social contract and steady growth has resulted in one of the lowest poverty rates in Latin America and the Caribbean, where the proportion of the population with incomes below US</w:t>
      </w:r>
      <w:r w:rsidR="00F73500">
        <w:t>D</w:t>
      </w:r>
      <w:r w:rsidR="00F73500" w:rsidRPr="00F73500">
        <w:t xml:space="preserve"> 5.5 per person per day decreased slightly from 12.9 to 10.6 percent between 2010 and 2019</w:t>
      </w:r>
      <w:r w:rsidR="00EB387A">
        <w:t>.</w:t>
      </w:r>
      <w:r w:rsidR="00F73500" w:rsidRPr="00F73500">
        <w:rPr>
          <w:vertAlign w:val="superscript"/>
        </w:rPr>
        <w:footnoteReference w:id="8"/>
      </w:r>
      <w:r w:rsidR="00F73500" w:rsidRPr="00F73500">
        <w:t xml:space="preserve"> Its rural population is the lowest in Central America</w:t>
      </w:r>
      <w:r w:rsidR="00EB387A">
        <w:t xml:space="preserve">. Finally, </w:t>
      </w:r>
      <w:r w:rsidR="00F73500" w:rsidRPr="00F73500">
        <w:t xml:space="preserve">it has the highest electricity coverage in the region </w:t>
      </w:r>
      <w:r w:rsidR="00EB387A">
        <w:t>coupled with th</w:t>
      </w:r>
      <w:r w:rsidR="00F73500" w:rsidRPr="00F73500">
        <w:t>e lowest percentage of the population living below the poverty line.</w:t>
      </w:r>
    </w:p>
    <w:p w14:paraId="0A33D6E3" w14:textId="3F40C3E2" w:rsidR="00315ECA" w:rsidRPr="00472B84" w:rsidRDefault="00315ECA" w:rsidP="00336136">
      <w:pPr>
        <w:spacing w:line="240" w:lineRule="auto"/>
      </w:pPr>
      <w:r w:rsidRPr="00AB7C5A">
        <w:rPr>
          <w:u w:val="single"/>
        </w:rPr>
        <w:t>Panama</w:t>
      </w:r>
      <w:r w:rsidRPr="00472B84">
        <w:t xml:space="preserve"> </w:t>
      </w:r>
      <w:r w:rsidR="00F73500" w:rsidRPr="00F73500">
        <w:t>is the third-largest economy in the Central American region. Its economy is centered on a highly developed services sector, which represents more than 75% of the country’s GDP. The Panamanian government has promoted economic growth over the past decade in large part through open market policies and by supporting free trade. Moreover, the government actively encourages foreign direct investment through lax regulation and by guaranteeing ease of business. In 2020</w:t>
      </w:r>
      <w:r w:rsidR="005B782B">
        <w:t>, because of the pandemics,</w:t>
      </w:r>
      <w:r w:rsidR="00F73500" w:rsidRPr="00F73500">
        <w:t xml:space="preserve"> the World Bank announced that Panama experienced a GDP contraction of 17.9 percent</w:t>
      </w:r>
      <w:r w:rsidR="005B782B">
        <w:t xml:space="preserve"> after many years of steady growth, </w:t>
      </w:r>
      <w:r w:rsidR="00F73500" w:rsidRPr="00F73500">
        <w:t>but it is projected to have a strong rebound in 2021. The rebound, coupled with support to vulnerable segments of the population through mitigation policies, is expected to reduce poverty in the post-pandemic period.</w:t>
      </w:r>
    </w:p>
    <w:p w14:paraId="15E20A43" w14:textId="44995069" w:rsidR="00101FBA" w:rsidRDefault="00F73500" w:rsidP="00336136">
      <w:pPr>
        <w:spacing w:line="240" w:lineRule="auto"/>
      </w:pPr>
      <w:r w:rsidRPr="00F73500">
        <w:t xml:space="preserve">Social advances and </w:t>
      </w:r>
      <w:r w:rsidR="005B782B">
        <w:t>a good</w:t>
      </w:r>
      <w:r w:rsidRPr="00F73500">
        <w:t xml:space="preserve"> economic growth in the past decade have brought Central America closer to the standards of the more advanced economies</w:t>
      </w:r>
      <w:r w:rsidR="00EB387A">
        <w:t xml:space="preserve">. However, </w:t>
      </w:r>
      <w:r w:rsidRPr="00F73500">
        <w:t xml:space="preserve">they have also brought new challenges such as </w:t>
      </w:r>
      <w:r w:rsidR="00EB387A">
        <w:t xml:space="preserve">ensuring </w:t>
      </w:r>
      <w:r w:rsidRPr="00F73500">
        <w:t>access to stable energy services.</w:t>
      </w:r>
    </w:p>
    <w:p w14:paraId="50031B97" w14:textId="35886190" w:rsidR="005B782B" w:rsidRPr="00101FBA" w:rsidRDefault="00101FBA" w:rsidP="00336136">
      <w:pPr>
        <w:spacing w:line="240" w:lineRule="auto"/>
      </w:pPr>
      <w:r w:rsidRPr="00101FBA">
        <w:t>In the last 20 years, the region has gone through a series of stages that have transformed its energy matri</w:t>
      </w:r>
      <w:r w:rsidR="00EB387A">
        <w:t>x regardless of varying conditionalities between the countries in said region.</w:t>
      </w:r>
      <w:r w:rsidRPr="00101FBA">
        <w:t xml:space="preserve"> Twenty years ago</w:t>
      </w:r>
      <w:r>
        <w:t>,</w:t>
      </w:r>
      <w:r w:rsidRPr="00101FBA">
        <w:t xml:space="preserve"> the region was highly dependent on fossil fuels. Gradually, thanks to aggressive incentive policies, the share of hydroelectricity increased rapidly, as did geothermal in the countries with the most abundance of </w:t>
      </w:r>
      <w:r w:rsidR="00EB387A">
        <w:t>said</w:t>
      </w:r>
      <w:r w:rsidRPr="00101FBA">
        <w:t xml:space="preserve"> resource. </w:t>
      </w:r>
      <w:r w:rsidR="00EB387A">
        <w:t xml:space="preserve">This was followed by the introduction of wind energy. Similarly, and most recently, </w:t>
      </w:r>
      <w:r w:rsidRPr="00101FBA">
        <w:t>solar energy and efforts to implement energy efficiency actions have taken a lot of momentum. However,</w:t>
      </w:r>
      <w:r w:rsidR="00EB387A">
        <w:t xml:space="preserve"> contemporarily</w:t>
      </w:r>
      <w:r w:rsidRPr="00101FBA">
        <w:t xml:space="preserve"> natural gas is making </w:t>
      </w:r>
      <w:r w:rsidR="00EB387A">
        <w:t xml:space="preserve">strong </w:t>
      </w:r>
      <w:r w:rsidRPr="00101FBA">
        <w:t xml:space="preserve">inroads, and for the next few years it is expected to </w:t>
      </w:r>
      <w:r w:rsidR="00EB387A">
        <w:t>further entrench</w:t>
      </w:r>
      <w:r w:rsidRPr="00101FBA">
        <w:t xml:space="preserve"> itself in most countries</w:t>
      </w:r>
      <w:r w:rsidR="00EB387A">
        <w:t>. This would likely be followed by</w:t>
      </w:r>
      <w:r w:rsidRPr="00101FBA">
        <w:t xml:space="preserve"> greater p</w:t>
      </w:r>
      <w:r w:rsidR="00EB387A">
        <w:t xml:space="preserve">resence </w:t>
      </w:r>
      <w:r w:rsidRPr="00101FBA">
        <w:t>of solar and wind, and to a lesser extent, small-scale hydroelectric plants.</w:t>
      </w:r>
      <w:r w:rsidR="00F73500" w:rsidRPr="00F73500">
        <w:t xml:space="preserve"> </w:t>
      </w:r>
    </w:p>
    <w:p w14:paraId="01C78A40" w14:textId="15EC5848" w:rsidR="00315ECA" w:rsidRPr="00472B84" w:rsidRDefault="00F73500" w:rsidP="00336136">
      <w:pPr>
        <w:spacing w:line="240" w:lineRule="auto"/>
      </w:pPr>
      <w:r w:rsidRPr="00F73500">
        <w:t>Countries are beginning to address diversification efforts in electricity systems and are working to create more enabling policy and regulatory environments</w:t>
      </w:r>
      <w:r w:rsidR="00101FBA">
        <w:t>, adequate to the current times</w:t>
      </w:r>
      <w:r w:rsidRPr="00F73500">
        <w:t xml:space="preserve">. </w:t>
      </w:r>
      <w:r w:rsidR="00101FBA">
        <w:t>The correlation</w:t>
      </w:r>
      <w:r w:rsidRPr="00F73500">
        <w:t xml:space="preserve"> between energy </w:t>
      </w:r>
      <w:r w:rsidR="00101FBA">
        <w:t>c</w:t>
      </w:r>
      <w:r w:rsidRPr="00F73500">
        <w:t xml:space="preserve">onsumption and </w:t>
      </w:r>
      <w:r w:rsidR="00101FBA">
        <w:t>e</w:t>
      </w:r>
      <w:r w:rsidRPr="00F73500">
        <w:t xml:space="preserve">conomic </w:t>
      </w:r>
      <w:r w:rsidR="00101FBA">
        <w:t>g</w:t>
      </w:r>
      <w:r w:rsidRPr="00F73500">
        <w:t xml:space="preserve">rowth </w:t>
      </w:r>
      <w:r w:rsidR="00101FBA">
        <w:t xml:space="preserve">is </w:t>
      </w:r>
      <w:r w:rsidRPr="00F73500">
        <w:t>well-documented</w:t>
      </w:r>
      <w:r w:rsidR="00101FBA">
        <w:t>, although the pandemic demonstrated a momentary decoupling between GDP growth and electricity demand growth rates</w:t>
      </w:r>
      <w:r w:rsidRPr="00F73500">
        <w:t xml:space="preserve">. </w:t>
      </w:r>
      <w:r w:rsidR="00101FBA">
        <w:t>The</w:t>
      </w:r>
      <w:r w:rsidR="00AB7C5A">
        <w:t xml:space="preserve"> next table shows the historical GDP growth and </w:t>
      </w:r>
      <w:r w:rsidR="00101FBA">
        <w:t xml:space="preserve">short-term </w:t>
      </w:r>
      <w:r w:rsidR="00AB7C5A">
        <w:t>projections</w:t>
      </w:r>
      <w:r w:rsidR="004507A2">
        <w:t xml:space="preserve"> for Central America countries. </w:t>
      </w:r>
    </w:p>
    <w:p w14:paraId="030C8672" w14:textId="7CA677A5" w:rsidR="00AB7C5A" w:rsidRDefault="00472B84" w:rsidP="00336136">
      <w:pPr>
        <w:pStyle w:val="Descripcin"/>
        <w:keepNext/>
        <w:spacing w:after="160"/>
        <w:jc w:val="center"/>
      </w:pPr>
      <w:r w:rsidRPr="00F73500">
        <w:rPr>
          <w:b/>
          <w:bCs/>
        </w:rPr>
        <w:t xml:space="preserve">Table </w:t>
      </w:r>
      <w:r w:rsidRPr="00F73500">
        <w:rPr>
          <w:b/>
          <w:bCs/>
        </w:rPr>
        <w:fldChar w:fldCharType="begin"/>
      </w:r>
      <w:r w:rsidRPr="00F73500">
        <w:rPr>
          <w:b/>
          <w:bCs/>
        </w:rPr>
        <w:instrText xml:space="preserve"> SEQ Table \* ARABIC </w:instrText>
      </w:r>
      <w:r w:rsidRPr="00F73500">
        <w:rPr>
          <w:b/>
          <w:bCs/>
        </w:rPr>
        <w:fldChar w:fldCharType="separate"/>
      </w:r>
      <w:r w:rsidR="00D054D0">
        <w:rPr>
          <w:b/>
          <w:bCs/>
          <w:noProof/>
        </w:rPr>
        <w:t>1</w:t>
      </w:r>
      <w:r w:rsidRPr="00F73500">
        <w:rPr>
          <w:b/>
          <w:bCs/>
        </w:rPr>
        <w:fldChar w:fldCharType="end"/>
      </w:r>
      <w:r w:rsidRPr="00F73500">
        <w:rPr>
          <w:b/>
          <w:bCs/>
        </w:rPr>
        <w:t>.</w:t>
      </w:r>
      <w:r w:rsidRPr="00F73500">
        <w:t xml:space="preserve"> </w:t>
      </w:r>
      <w:r w:rsidR="00AB7C5A" w:rsidRPr="00F73500">
        <w:t>Central</w:t>
      </w:r>
      <w:r w:rsidR="00AB7C5A">
        <w:t xml:space="preserve"> America: Historical GDP growth</w:t>
      </w:r>
      <w:r w:rsidR="00101FBA">
        <w:t xml:space="preserve"> (%)</w:t>
      </w:r>
      <w:r w:rsidR="00AB7C5A">
        <w:t xml:space="preserve"> (2010-2019), and projections</w:t>
      </w:r>
    </w:p>
    <w:p w14:paraId="7C63B88D" w14:textId="2229067A" w:rsidR="00F73500" w:rsidRPr="004507A2" w:rsidRDefault="00AB7C5A" w:rsidP="004507A2">
      <w:pPr>
        <w:pStyle w:val="Descripcin"/>
        <w:keepNext/>
        <w:spacing w:after="160"/>
        <w:jc w:val="left"/>
      </w:pPr>
      <w:r w:rsidRPr="00E14C8A">
        <w:rPr>
          <w:noProof/>
        </w:rPr>
        <w:drawing>
          <wp:inline distT="0" distB="0" distL="0" distR="0" wp14:anchorId="7A452C52" wp14:editId="38567D9F">
            <wp:extent cx="5401427" cy="1175657"/>
            <wp:effectExtent l="0" t="0" r="0"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a:extLst>
                        <a:ext uri="{28A0092B-C50C-407E-A947-70E740481C1C}">
                          <a14:useLocalDpi xmlns:a14="http://schemas.microsoft.com/office/drawing/2010/main" val="0"/>
                        </a:ext>
                      </a:extLst>
                    </a:blip>
                    <a:srcRect b="16073"/>
                    <a:stretch/>
                  </pic:blipFill>
                  <pic:spPr bwMode="auto">
                    <a:xfrm>
                      <a:off x="0" y="0"/>
                      <a:ext cx="5402580" cy="1175908"/>
                    </a:xfrm>
                    <a:prstGeom prst="rect">
                      <a:avLst/>
                    </a:prstGeom>
                    <a:noFill/>
                    <a:ln>
                      <a:noFill/>
                    </a:ln>
                    <a:extLst>
                      <a:ext uri="{53640926-AAD7-44D8-BBD7-CCE9431645EC}">
                        <a14:shadowObscured xmlns:a14="http://schemas.microsoft.com/office/drawing/2010/main"/>
                      </a:ext>
                    </a:extLst>
                  </pic:spPr>
                </pic:pic>
              </a:graphicData>
            </a:graphic>
          </wp:inline>
        </w:drawing>
      </w:r>
      <w:r w:rsidR="00F73500" w:rsidRPr="00F73500">
        <w:rPr>
          <w:i/>
          <w:iCs/>
          <w:sz w:val="16"/>
          <w:szCs w:val="16"/>
        </w:rPr>
        <w:t xml:space="preserve">Source: International Monetary Fund. World Economic Outlook Database, April 2021. </w:t>
      </w:r>
      <w:r w:rsidR="00F73500">
        <w:rPr>
          <w:i/>
          <w:iCs/>
          <w:sz w:val="16"/>
          <w:szCs w:val="16"/>
        </w:rPr>
        <w:t xml:space="preserve">(e) Estimation. </w:t>
      </w:r>
    </w:p>
    <w:p w14:paraId="3184052C" w14:textId="51FF14E3" w:rsidR="001F580C" w:rsidRPr="00472B84" w:rsidRDefault="00315ECA" w:rsidP="00336136">
      <w:pPr>
        <w:spacing w:line="240" w:lineRule="auto"/>
      </w:pPr>
      <w:r w:rsidRPr="00472B84">
        <w:t xml:space="preserve">In 2019, 93.42% of homes had electricity service, 92.98% connected to the electricity grid, and 1.44% connected to isolated systems with renewable energies, mainly solar systems. The </w:t>
      </w:r>
      <w:r w:rsidR="002270F3">
        <w:t>table 2</w:t>
      </w:r>
      <w:r w:rsidRPr="00472B84">
        <w:t xml:space="preserve"> indicates the electricity coverage of Central American countries</w:t>
      </w:r>
      <w:r w:rsidR="00472B84" w:rsidRPr="007506B1">
        <w:t>.</w:t>
      </w:r>
      <w:r w:rsidR="00F73500" w:rsidRPr="007506B1">
        <w:t xml:space="preserve"> </w:t>
      </w:r>
      <w:r w:rsidR="001F580C" w:rsidRPr="007506B1">
        <w:t xml:space="preserve">From 1975 </w:t>
      </w:r>
      <w:r w:rsidR="005A4380" w:rsidRPr="007506B1">
        <w:t>to</w:t>
      </w:r>
      <w:r w:rsidR="001F580C" w:rsidRPr="007506B1">
        <w:t xml:space="preserve"> 20</w:t>
      </w:r>
      <w:r w:rsidR="00632AF0" w:rsidRPr="007506B1">
        <w:t>19</w:t>
      </w:r>
      <w:r w:rsidR="001F580C" w:rsidRPr="007506B1">
        <w:t xml:space="preserve">, electricity services in the Central American countries have shown substantial progress, reflecting the region's socio-economic progress and the governments' efforts to improve services. </w:t>
      </w:r>
      <w:r w:rsidR="00A47B64" w:rsidRPr="007506B1">
        <w:t xml:space="preserve">During these </w:t>
      </w:r>
      <w:r w:rsidR="005A4380" w:rsidRPr="007506B1">
        <w:t>four</w:t>
      </w:r>
      <w:r w:rsidR="009301D9" w:rsidRPr="007506B1">
        <w:t xml:space="preserve"> decades</w:t>
      </w:r>
      <w:r w:rsidR="00A47B64" w:rsidRPr="007506B1">
        <w:t xml:space="preserve">, the installed generation capacity in the region increased from 1,664 MW to </w:t>
      </w:r>
      <w:r w:rsidR="00EB3E6A" w:rsidRPr="007506B1">
        <w:t>18</w:t>
      </w:r>
      <w:r w:rsidR="00632AF0" w:rsidRPr="007506B1">
        <w:t>,370</w:t>
      </w:r>
      <w:r w:rsidR="00A47B64" w:rsidRPr="007506B1">
        <w:t xml:space="preserve"> MW, while power generation increased from 6,491 GWh to </w:t>
      </w:r>
      <w:r w:rsidR="00CA6897" w:rsidRPr="007506B1">
        <w:t>5</w:t>
      </w:r>
      <w:r w:rsidR="00632AF0" w:rsidRPr="007506B1">
        <w:t>4,076</w:t>
      </w:r>
      <w:r w:rsidR="00A47B64" w:rsidRPr="007506B1">
        <w:t xml:space="preserve"> GWh</w:t>
      </w:r>
      <w:r w:rsidR="00A47B64" w:rsidRPr="007506B1">
        <w:rPr>
          <w:vertAlign w:val="superscript"/>
        </w:rPr>
        <w:footnoteReference w:id="9"/>
      </w:r>
      <w:r w:rsidR="00A47B64" w:rsidRPr="007506B1">
        <w:t>.</w:t>
      </w:r>
    </w:p>
    <w:p w14:paraId="53FB6983" w14:textId="1A5607D8" w:rsidR="00472B84" w:rsidRPr="005D2C72" w:rsidRDefault="00472B84" w:rsidP="00336136">
      <w:pPr>
        <w:pStyle w:val="Descripcin"/>
        <w:keepNext/>
        <w:spacing w:after="160"/>
        <w:jc w:val="center"/>
      </w:pPr>
      <w:r w:rsidRPr="005D2C72">
        <w:rPr>
          <w:b/>
          <w:bCs/>
        </w:rPr>
        <w:t xml:space="preserve">Table </w:t>
      </w:r>
      <w:r w:rsidRPr="005D2C72">
        <w:rPr>
          <w:b/>
          <w:bCs/>
        </w:rPr>
        <w:fldChar w:fldCharType="begin"/>
      </w:r>
      <w:r w:rsidRPr="005D2C72">
        <w:rPr>
          <w:b/>
          <w:bCs/>
        </w:rPr>
        <w:instrText xml:space="preserve"> SEQ Table \* ARABIC </w:instrText>
      </w:r>
      <w:r w:rsidRPr="005D2C72">
        <w:rPr>
          <w:b/>
          <w:bCs/>
        </w:rPr>
        <w:fldChar w:fldCharType="separate"/>
      </w:r>
      <w:r w:rsidR="00D054D0">
        <w:rPr>
          <w:b/>
          <w:bCs/>
          <w:noProof/>
        </w:rPr>
        <w:t>2</w:t>
      </w:r>
      <w:r w:rsidRPr="005D2C72">
        <w:rPr>
          <w:b/>
          <w:bCs/>
        </w:rPr>
        <w:fldChar w:fldCharType="end"/>
      </w:r>
      <w:r w:rsidRPr="005D2C72">
        <w:rPr>
          <w:b/>
          <w:bCs/>
        </w:rPr>
        <w:t>.</w:t>
      </w:r>
      <w:r w:rsidRPr="005D2C72">
        <w:t xml:space="preserve"> Electricity coverage</w:t>
      </w:r>
      <w:r w:rsidR="00AB7C5A" w:rsidRPr="005D2C72">
        <w:t xml:space="preserve"> and demand</w:t>
      </w:r>
      <w:r w:rsidRPr="005D2C72">
        <w:t xml:space="preserve"> of Central American countries</w:t>
      </w:r>
      <w:r w:rsidR="00E273A7" w:rsidRPr="005D2C72">
        <w:t>, 2019.</w:t>
      </w:r>
    </w:p>
    <w:tbl>
      <w:tblPr>
        <w:tblW w:w="5000" w:type="pct"/>
        <w:tblLayout w:type="fixed"/>
        <w:tblCellMar>
          <w:left w:w="70" w:type="dxa"/>
          <w:right w:w="70" w:type="dxa"/>
        </w:tblCellMar>
        <w:tblLook w:val="04A0" w:firstRow="1" w:lastRow="0" w:firstColumn="1" w:lastColumn="0" w:noHBand="0" w:noVBand="1"/>
      </w:tblPr>
      <w:tblGrid>
        <w:gridCol w:w="1554"/>
        <w:gridCol w:w="1133"/>
        <w:gridCol w:w="992"/>
        <w:gridCol w:w="992"/>
        <w:gridCol w:w="1132"/>
        <w:gridCol w:w="706"/>
        <w:gridCol w:w="991"/>
        <w:gridCol w:w="988"/>
      </w:tblGrid>
      <w:tr w:rsidR="000B3EC6" w:rsidRPr="005D2C72" w14:paraId="50EA1176" w14:textId="77777777" w:rsidTr="000B3EC6">
        <w:trPr>
          <w:trHeight w:val="402"/>
        </w:trPr>
        <w:tc>
          <w:tcPr>
            <w:tcW w:w="915" w:type="pct"/>
            <w:tcBorders>
              <w:top w:val="single" w:sz="8" w:space="0" w:color="auto"/>
              <w:left w:val="single" w:sz="8" w:space="0" w:color="auto"/>
              <w:bottom w:val="single" w:sz="8" w:space="0" w:color="auto"/>
              <w:right w:val="single" w:sz="8" w:space="0" w:color="auto"/>
            </w:tcBorders>
            <w:shd w:val="clear" w:color="000000" w:fill="4472C4"/>
            <w:vAlign w:val="center"/>
            <w:hideMark/>
          </w:tcPr>
          <w:p w14:paraId="301D612A" w14:textId="77777777" w:rsidR="000856BC" w:rsidRPr="005D2C72" w:rsidRDefault="000856BC" w:rsidP="000856BC">
            <w:pPr>
              <w:spacing w:after="0" w:line="240" w:lineRule="auto"/>
              <w:rPr>
                <w:rFonts w:eastAsia="Times New Roman" w:cs="Calibri"/>
                <w:b/>
                <w:bCs/>
                <w:color w:val="FFFFFF"/>
                <w:sz w:val="16"/>
                <w:szCs w:val="16"/>
                <w:lang w:eastAsia="es-CR"/>
              </w:rPr>
            </w:pPr>
          </w:p>
        </w:tc>
        <w:tc>
          <w:tcPr>
            <w:tcW w:w="667" w:type="pct"/>
            <w:tcBorders>
              <w:top w:val="single" w:sz="8" w:space="0" w:color="auto"/>
              <w:left w:val="nil"/>
              <w:bottom w:val="single" w:sz="8" w:space="0" w:color="auto"/>
              <w:right w:val="single" w:sz="8" w:space="0" w:color="auto"/>
            </w:tcBorders>
            <w:shd w:val="clear" w:color="000000" w:fill="4472C4"/>
            <w:vAlign w:val="center"/>
            <w:hideMark/>
          </w:tcPr>
          <w:p w14:paraId="72256099" w14:textId="0AADCA24" w:rsidR="000856BC" w:rsidRPr="005D2C72" w:rsidRDefault="000856BC" w:rsidP="00623504">
            <w:pPr>
              <w:spacing w:after="0" w:line="240" w:lineRule="auto"/>
              <w:jc w:val="center"/>
              <w:rPr>
                <w:rFonts w:eastAsia="Times New Roman" w:cs="Calibri"/>
                <w:b/>
                <w:bCs/>
                <w:color w:val="FFFFFF"/>
                <w:sz w:val="16"/>
                <w:szCs w:val="16"/>
                <w:lang w:eastAsia="es-CR"/>
              </w:rPr>
            </w:pPr>
            <w:r w:rsidRPr="005D2C72">
              <w:rPr>
                <w:rFonts w:eastAsia="Times New Roman" w:cs="Calibri"/>
                <w:b/>
                <w:bCs/>
                <w:color w:val="FFFFFF"/>
                <w:sz w:val="16"/>
                <w:szCs w:val="16"/>
                <w:lang w:eastAsia="es-CR"/>
              </w:rPr>
              <w:t>Guatemala</w:t>
            </w:r>
          </w:p>
        </w:tc>
        <w:tc>
          <w:tcPr>
            <w:tcW w:w="584" w:type="pct"/>
            <w:tcBorders>
              <w:top w:val="single" w:sz="8" w:space="0" w:color="auto"/>
              <w:left w:val="nil"/>
              <w:bottom w:val="single" w:sz="8" w:space="0" w:color="auto"/>
              <w:right w:val="single" w:sz="8" w:space="0" w:color="auto"/>
            </w:tcBorders>
            <w:shd w:val="clear" w:color="000000" w:fill="4472C4"/>
            <w:vAlign w:val="center"/>
            <w:hideMark/>
          </w:tcPr>
          <w:p w14:paraId="1EF7BBBB" w14:textId="48307F93" w:rsidR="000856BC" w:rsidRPr="005D2C72" w:rsidRDefault="000856BC" w:rsidP="00623504">
            <w:pPr>
              <w:spacing w:after="0" w:line="240" w:lineRule="auto"/>
              <w:jc w:val="center"/>
              <w:rPr>
                <w:rFonts w:eastAsia="Times New Roman" w:cs="Calibri"/>
                <w:b/>
                <w:bCs/>
                <w:color w:val="FFFFFF"/>
                <w:sz w:val="16"/>
                <w:szCs w:val="16"/>
                <w:lang w:eastAsia="es-CR"/>
              </w:rPr>
            </w:pPr>
            <w:r w:rsidRPr="005D2C72">
              <w:rPr>
                <w:rFonts w:eastAsia="Times New Roman" w:cs="Calibri"/>
                <w:b/>
                <w:bCs/>
                <w:color w:val="FFFFFF"/>
                <w:sz w:val="16"/>
                <w:szCs w:val="16"/>
                <w:lang w:eastAsia="es-CR"/>
              </w:rPr>
              <w:t>Honduras</w:t>
            </w:r>
          </w:p>
        </w:tc>
        <w:tc>
          <w:tcPr>
            <w:tcW w:w="584" w:type="pct"/>
            <w:tcBorders>
              <w:top w:val="single" w:sz="8" w:space="0" w:color="auto"/>
              <w:left w:val="nil"/>
              <w:bottom w:val="single" w:sz="8" w:space="0" w:color="auto"/>
              <w:right w:val="single" w:sz="8" w:space="0" w:color="auto"/>
            </w:tcBorders>
            <w:shd w:val="clear" w:color="000000" w:fill="4472C4"/>
            <w:vAlign w:val="center"/>
            <w:hideMark/>
          </w:tcPr>
          <w:p w14:paraId="20E9A903" w14:textId="079B0299" w:rsidR="000856BC" w:rsidRPr="005D2C72" w:rsidRDefault="000856BC" w:rsidP="00623504">
            <w:pPr>
              <w:spacing w:after="0" w:line="240" w:lineRule="auto"/>
              <w:jc w:val="center"/>
              <w:rPr>
                <w:rFonts w:eastAsia="Times New Roman" w:cs="Calibri"/>
                <w:b/>
                <w:bCs/>
                <w:color w:val="FFFFFF"/>
                <w:sz w:val="16"/>
                <w:szCs w:val="16"/>
                <w:lang w:eastAsia="es-CR"/>
              </w:rPr>
            </w:pPr>
            <w:r w:rsidRPr="005D2C72">
              <w:rPr>
                <w:rFonts w:eastAsia="Times New Roman" w:cs="Calibri"/>
                <w:b/>
                <w:bCs/>
                <w:color w:val="FFFFFF"/>
                <w:sz w:val="16"/>
                <w:szCs w:val="16"/>
                <w:lang w:eastAsia="es-CR"/>
              </w:rPr>
              <w:t>El Salvador</w:t>
            </w:r>
          </w:p>
        </w:tc>
        <w:tc>
          <w:tcPr>
            <w:tcW w:w="667" w:type="pct"/>
            <w:tcBorders>
              <w:top w:val="single" w:sz="8" w:space="0" w:color="auto"/>
              <w:left w:val="nil"/>
              <w:bottom w:val="single" w:sz="8" w:space="0" w:color="auto"/>
              <w:right w:val="single" w:sz="8" w:space="0" w:color="auto"/>
            </w:tcBorders>
            <w:shd w:val="clear" w:color="000000" w:fill="4472C4"/>
            <w:vAlign w:val="center"/>
            <w:hideMark/>
          </w:tcPr>
          <w:p w14:paraId="3F0594C8" w14:textId="77777777" w:rsidR="000856BC" w:rsidRPr="005D2C72" w:rsidRDefault="000856BC" w:rsidP="00623504">
            <w:pPr>
              <w:spacing w:after="0" w:line="240" w:lineRule="auto"/>
              <w:jc w:val="center"/>
              <w:rPr>
                <w:rFonts w:eastAsia="Times New Roman" w:cs="Calibri"/>
                <w:b/>
                <w:bCs/>
                <w:color w:val="FFFFFF"/>
                <w:sz w:val="16"/>
                <w:szCs w:val="16"/>
                <w:lang w:eastAsia="es-CR"/>
              </w:rPr>
            </w:pPr>
            <w:r w:rsidRPr="005D2C72">
              <w:rPr>
                <w:rFonts w:eastAsia="Times New Roman" w:cs="Calibri"/>
                <w:b/>
                <w:bCs/>
                <w:color w:val="FFFFFF"/>
                <w:sz w:val="16"/>
                <w:szCs w:val="16"/>
                <w:lang w:eastAsia="es-CR"/>
              </w:rPr>
              <w:t>Nicaragua</w:t>
            </w:r>
          </w:p>
        </w:tc>
        <w:tc>
          <w:tcPr>
            <w:tcW w:w="416" w:type="pct"/>
            <w:tcBorders>
              <w:top w:val="single" w:sz="8" w:space="0" w:color="auto"/>
              <w:left w:val="nil"/>
              <w:bottom w:val="single" w:sz="8" w:space="0" w:color="auto"/>
              <w:right w:val="single" w:sz="8" w:space="0" w:color="auto"/>
            </w:tcBorders>
            <w:shd w:val="clear" w:color="000000" w:fill="4472C4"/>
            <w:vAlign w:val="center"/>
            <w:hideMark/>
          </w:tcPr>
          <w:p w14:paraId="54299B71" w14:textId="60BF530A" w:rsidR="000856BC" w:rsidRPr="005D2C72" w:rsidRDefault="000856BC" w:rsidP="00623504">
            <w:pPr>
              <w:spacing w:after="0" w:line="240" w:lineRule="auto"/>
              <w:jc w:val="center"/>
              <w:rPr>
                <w:rFonts w:eastAsia="Times New Roman" w:cs="Calibri"/>
                <w:b/>
                <w:bCs/>
                <w:color w:val="FFFFFF"/>
                <w:sz w:val="16"/>
                <w:szCs w:val="16"/>
                <w:lang w:eastAsia="es-CR"/>
              </w:rPr>
            </w:pPr>
            <w:r w:rsidRPr="005D2C72">
              <w:rPr>
                <w:rFonts w:eastAsia="Times New Roman" w:cs="Calibri"/>
                <w:b/>
                <w:bCs/>
                <w:color w:val="FFFFFF"/>
                <w:sz w:val="16"/>
                <w:szCs w:val="16"/>
                <w:lang w:eastAsia="es-CR"/>
              </w:rPr>
              <w:t>Costa Rica</w:t>
            </w:r>
          </w:p>
        </w:tc>
        <w:tc>
          <w:tcPr>
            <w:tcW w:w="584" w:type="pct"/>
            <w:tcBorders>
              <w:top w:val="single" w:sz="8" w:space="0" w:color="auto"/>
              <w:left w:val="nil"/>
              <w:bottom w:val="single" w:sz="8" w:space="0" w:color="auto"/>
              <w:right w:val="single" w:sz="8" w:space="0" w:color="auto"/>
            </w:tcBorders>
            <w:shd w:val="clear" w:color="000000" w:fill="4472C4"/>
            <w:vAlign w:val="center"/>
            <w:hideMark/>
          </w:tcPr>
          <w:p w14:paraId="5B3D0F46" w14:textId="722D9C38" w:rsidR="000856BC" w:rsidRPr="005D2C72" w:rsidRDefault="000856BC" w:rsidP="00623504">
            <w:pPr>
              <w:spacing w:after="0" w:line="240" w:lineRule="auto"/>
              <w:jc w:val="center"/>
              <w:rPr>
                <w:rFonts w:eastAsia="Times New Roman" w:cs="Calibri"/>
                <w:b/>
                <w:bCs/>
                <w:color w:val="FFFFFF"/>
                <w:sz w:val="16"/>
                <w:szCs w:val="16"/>
                <w:lang w:eastAsia="es-CR"/>
              </w:rPr>
            </w:pPr>
            <w:r w:rsidRPr="005D2C72">
              <w:rPr>
                <w:rFonts w:eastAsia="Times New Roman" w:cs="Calibri"/>
                <w:b/>
                <w:bCs/>
                <w:color w:val="FFFFFF"/>
                <w:sz w:val="16"/>
                <w:szCs w:val="16"/>
                <w:lang w:eastAsia="es-CR"/>
              </w:rPr>
              <w:t>Panam</w:t>
            </w:r>
            <w:r w:rsidR="005D2C72">
              <w:rPr>
                <w:rFonts w:eastAsia="Times New Roman" w:cs="Calibri"/>
                <w:b/>
                <w:bCs/>
                <w:color w:val="FFFFFF"/>
                <w:sz w:val="16"/>
                <w:szCs w:val="16"/>
                <w:lang w:eastAsia="es-CR"/>
              </w:rPr>
              <w:t>a</w:t>
            </w:r>
          </w:p>
        </w:tc>
        <w:tc>
          <w:tcPr>
            <w:tcW w:w="582" w:type="pct"/>
            <w:tcBorders>
              <w:top w:val="single" w:sz="8" w:space="0" w:color="auto"/>
              <w:left w:val="nil"/>
              <w:bottom w:val="single" w:sz="8" w:space="0" w:color="auto"/>
              <w:right w:val="single" w:sz="8" w:space="0" w:color="auto"/>
            </w:tcBorders>
            <w:shd w:val="clear" w:color="000000" w:fill="4472C4"/>
            <w:vAlign w:val="center"/>
            <w:hideMark/>
          </w:tcPr>
          <w:p w14:paraId="507FC65F" w14:textId="77777777" w:rsidR="000856BC" w:rsidRPr="005D2C72" w:rsidRDefault="000856BC" w:rsidP="00623504">
            <w:pPr>
              <w:spacing w:after="0" w:line="240" w:lineRule="auto"/>
              <w:jc w:val="center"/>
              <w:rPr>
                <w:rFonts w:eastAsia="Times New Roman" w:cs="Calibri"/>
                <w:b/>
                <w:bCs/>
                <w:color w:val="FFFFFF"/>
                <w:sz w:val="16"/>
                <w:szCs w:val="16"/>
                <w:lang w:eastAsia="es-CR"/>
              </w:rPr>
            </w:pPr>
            <w:r w:rsidRPr="005D2C72">
              <w:rPr>
                <w:rFonts w:eastAsia="Times New Roman" w:cs="Calibri"/>
                <w:b/>
                <w:bCs/>
                <w:color w:val="FFFFFF"/>
                <w:sz w:val="16"/>
                <w:szCs w:val="16"/>
                <w:lang w:eastAsia="es-CR"/>
              </w:rPr>
              <w:t>Average</w:t>
            </w:r>
          </w:p>
        </w:tc>
      </w:tr>
      <w:tr w:rsidR="000B3EC6" w:rsidRPr="005D2C72" w14:paraId="2396ABD2" w14:textId="77777777" w:rsidTr="000B3EC6">
        <w:trPr>
          <w:trHeight w:val="402"/>
        </w:trPr>
        <w:tc>
          <w:tcPr>
            <w:tcW w:w="915" w:type="pct"/>
            <w:tcBorders>
              <w:top w:val="nil"/>
              <w:left w:val="single" w:sz="8" w:space="0" w:color="auto"/>
              <w:bottom w:val="single" w:sz="8" w:space="0" w:color="auto"/>
              <w:right w:val="single" w:sz="8" w:space="0" w:color="auto"/>
            </w:tcBorders>
            <w:shd w:val="clear" w:color="000000" w:fill="4472C4"/>
            <w:vAlign w:val="center"/>
            <w:hideMark/>
          </w:tcPr>
          <w:p w14:paraId="3EACCBBC" w14:textId="77777777" w:rsidR="000856BC" w:rsidRPr="005D2C72" w:rsidRDefault="000856BC" w:rsidP="000856BC">
            <w:pPr>
              <w:spacing w:after="0" w:line="240" w:lineRule="auto"/>
              <w:rPr>
                <w:rFonts w:eastAsia="Times New Roman" w:cs="Calibri"/>
                <w:color w:val="FFFFFF"/>
                <w:sz w:val="16"/>
                <w:szCs w:val="16"/>
                <w:lang w:eastAsia="es-CR"/>
              </w:rPr>
            </w:pPr>
            <w:r w:rsidRPr="005D2C72">
              <w:rPr>
                <w:rFonts w:eastAsia="Times New Roman" w:cs="Calibri"/>
                <w:color w:val="FFFFFF"/>
                <w:sz w:val="16"/>
                <w:szCs w:val="16"/>
                <w:lang w:eastAsia="es-CR"/>
              </w:rPr>
              <w:t>Electricity Coverage (%)</w:t>
            </w:r>
          </w:p>
        </w:tc>
        <w:tc>
          <w:tcPr>
            <w:tcW w:w="667" w:type="pct"/>
            <w:tcBorders>
              <w:top w:val="nil"/>
              <w:left w:val="nil"/>
              <w:bottom w:val="single" w:sz="8" w:space="0" w:color="auto"/>
              <w:right w:val="single" w:sz="8" w:space="0" w:color="auto"/>
            </w:tcBorders>
            <w:shd w:val="clear" w:color="auto" w:fill="auto"/>
            <w:vAlign w:val="center"/>
            <w:hideMark/>
          </w:tcPr>
          <w:p w14:paraId="0610CC68" w14:textId="77777777" w:rsidR="000856BC" w:rsidRPr="005D2C72" w:rsidRDefault="000856BC" w:rsidP="000856BC">
            <w:pPr>
              <w:spacing w:after="0" w:line="240" w:lineRule="auto"/>
              <w:jc w:val="center"/>
              <w:rPr>
                <w:rFonts w:eastAsia="Times New Roman" w:cs="Calibri"/>
                <w:color w:val="000000"/>
                <w:sz w:val="16"/>
                <w:szCs w:val="16"/>
                <w:lang w:eastAsia="es-CR"/>
              </w:rPr>
            </w:pPr>
            <w:r w:rsidRPr="005D2C72">
              <w:rPr>
                <w:rFonts w:eastAsia="Times New Roman" w:cs="Calibri"/>
                <w:color w:val="000000"/>
                <w:sz w:val="16"/>
                <w:szCs w:val="16"/>
                <w:lang w:eastAsia="es-CR"/>
              </w:rPr>
              <w:t>91.70</w:t>
            </w:r>
          </w:p>
        </w:tc>
        <w:tc>
          <w:tcPr>
            <w:tcW w:w="584" w:type="pct"/>
            <w:tcBorders>
              <w:top w:val="nil"/>
              <w:left w:val="nil"/>
              <w:bottom w:val="single" w:sz="8" w:space="0" w:color="auto"/>
              <w:right w:val="single" w:sz="8" w:space="0" w:color="auto"/>
            </w:tcBorders>
            <w:shd w:val="clear" w:color="auto" w:fill="auto"/>
            <w:vAlign w:val="center"/>
            <w:hideMark/>
          </w:tcPr>
          <w:p w14:paraId="4D7E74D7" w14:textId="77777777" w:rsidR="000856BC" w:rsidRPr="005D2C72" w:rsidRDefault="000856BC" w:rsidP="000856BC">
            <w:pPr>
              <w:spacing w:after="0" w:line="240" w:lineRule="auto"/>
              <w:jc w:val="center"/>
              <w:rPr>
                <w:rFonts w:eastAsia="Times New Roman" w:cs="Calibri"/>
                <w:color w:val="000000"/>
                <w:sz w:val="16"/>
                <w:szCs w:val="16"/>
                <w:lang w:eastAsia="es-CR"/>
              </w:rPr>
            </w:pPr>
            <w:r w:rsidRPr="005D2C72">
              <w:rPr>
                <w:rFonts w:eastAsia="Times New Roman" w:cs="Calibri"/>
                <w:color w:val="000000"/>
                <w:sz w:val="16"/>
                <w:szCs w:val="16"/>
                <w:lang w:eastAsia="es-CR"/>
              </w:rPr>
              <w:t>85.00</w:t>
            </w:r>
          </w:p>
        </w:tc>
        <w:tc>
          <w:tcPr>
            <w:tcW w:w="584" w:type="pct"/>
            <w:tcBorders>
              <w:top w:val="nil"/>
              <w:left w:val="nil"/>
              <w:bottom w:val="single" w:sz="8" w:space="0" w:color="auto"/>
              <w:right w:val="single" w:sz="8" w:space="0" w:color="auto"/>
            </w:tcBorders>
            <w:shd w:val="clear" w:color="auto" w:fill="auto"/>
            <w:vAlign w:val="center"/>
            <w:hideMark/>
          </w:tcPr>
          <w:p w14:paraId="07554BC1" w14:textId="77777777" w:rsidR="000856BC" w:rsidRPr="005D2C72" w:rsidRDefault="000856BC" w:rsidP="000856BC">
            <w:pPr>
              <w:spacing w:after="0" w:line="240" w:lineRule="auto"/>
              <w:jc w:val="center"/>
              <w:rPr>
                <w:rFonts w:eastAsia="Times New Roman" w:cs="Calibri"/>
                <w:color w:val="000000"/>
                <w:sz w:val="16"/>
                <w:szCs w:val="16"/>
                <w:lang w:eastAsia="es-CR"/>
              </w:rPr>
            </w:pPr>
            <w:r w:rsidRPr="005D2C72">
              <w:rPr>
                <w:rFonts w:eastAsia="Times New Roman" w:cs="Calibri"/>
                <w:color w:val="000000"/>
                <w:sz w:val="16"/>
                <w:szCs w:val="16"/>
                <w:lang w:eastAsia="es-CR"/>
              </w:rPr>
              <w:t>97,9</w:t>
            </w:r>
          </w:p>
        </w:tc>
        <w:tc>
          <w:tcPr>
            <w:tcW w:w="667" w:type="pct"/>
            <w:tcBorders>
              <w:top w:val="nil"/>
              <w:left w:val="nil"/>
              <w:bottom w:val="single" w:sz="8" w:space="0" w:color="auto"/>
              <w:right w:val="single" w:sz="8" w:space="0" w:color="auto"/>
            </w:tcBorders>
            <w:shd w:val="clear" w:color="auto" w:fill="auto"/>
            <w:vAlign w:val="center"/>
            <w:hideMark/>
          </w:tcPr>
          <w:p w14:paraId="6E47D0F3" w14:textId="77777777" w:rsidR="000856BC" w:rsidRPr="005D2C72" w:rsidRDefault="000856BC" w:rsidP="000856BC">
            <w:pPr>
              <w:spacing w:after="0" w:line="240" w:lineRule="auto"/>
              <w:jc w:val="center"/>
              <w:rPr>
                <w:rFonts w:eastAsia="Times New Roman" w:cs="Calibri"/>
                <w:color w:val="000000"/>
                <w:sz w:val="16"/>
                <w:szCs w:val="16"/>
                <w:lang w:eastAsia="es-CR"/>
              </w:rPr>
            </w:pPr>
            <w:r w:rsidRPr="005D2C72">
              <w:rPr>
                <w:rFonts w:eastAsia="Times New Roman" w:cs="Calibri"/>
                <w:color w:val="000000"/>
                <w:sz w:val="16"/>
                <w:szCs w:val="16"/>
                <w:lang w:eastAsia="es-CR"/>
              </w:rPr>
              <w:t>97.20</w:t>
            </w:r>
          </w:p>
        </w:tc>
        <w:tc>
          <w:tcPr>
            <w:tcW w:w="416" w:type="pct"/>
            <w:tcBorders>
              <w:top w:val="nil"/>
              <w:left w:val="nil"/>
              <w:bottom w:val="single" w:sz="8" w:space="0" w:color="auto"/>
              <w:right w:val="single" w:sz="8" w:space="0" w:color="auto"/>
            </w:tcBorders>
            <w:shd w:val="clear" w:color="auto" w:fill="auto"/>
            <w:vAlign w:val="center"/>
            <w:hideMark/>
          </w:tcPr>
          <w:p w14:paraId="5427F010" w14:textId="77777777" w:rsidR="000856BC" w:rsidRPr="005D2C72" w:rsidRDefault="000856BC" w:rsidP="000856BC">
            <w:pPr>
              <w:spacing w:after="0" w:line="240" w:lineRule="auto"/>
              <w:jc w:val="center"/>
              <w:rPr>
                <w:rFonts w:eastAsia="Times New Roman" w:cs="Calibri"/>
                <w:color w:val="000000"/>
                <w:sz w:val="16"/>
                <w:szCs w:val="16"/>
                <w:lang w:eastAsia="es-CR"/>
              </w:rPr>
            </w:pPr>
            <w:r w:rsidRPr="005D2C72">
              <w:rPr>
                <w:rFonts w:eastAsia="Times New Roman" w:cs="Calibri"/>
                <w:color w:val="000000"/>
                <w:sz w:val="16"/>
                <w:szCs w:val="16"/>
                <w:lang w:eastAsia="es-CR"/>
              </w:rPr>
              <w:t>99.40</w:t>
            </w:r>
          </w:p>
        </w:tc>
        <w:tc>
          <w:tcPr>
            <w:tcW w:w="584" w:type="pct"/>
            <w:tcBorders>
              <w:top w:val="nil"/>
              <w:left w:val="nil"/>
              <w:bottom w:val="single" w:sz="8" w:space="0" w:color="auto"/>
              <w:right w:val="single" w:sz="8" w:space="0" w:color="auto"/>
            </w:tcBorders>
            <w:shd w:val="clear" w:color="auto" w:fill="auto"/>
            <w:vAlign w:val="center"/>
            <w:hideMark/>
          </w:tcPr>
          <w:p w14:paraId="1B318456" w14:textId="77777777" w:rsidR="000856BC" w:rsidRPr="005D2C72" w:rsidRDefault="000856BC" w:rsidP="000856BC">
            <w:pPr>
              <w:spacing w:after="0" w:line="240" w:lineRule="auto"/>
              <w:jc w:val="center"/>
              <w:rPr>
                <w:rFonts w:eastAsia="Times New Roman" w:cs="Calibri"/>
                <w:color w:val="000000"/>
                <w:sz w:val="16"/>
                <w:szCs w:val="16"/>
                <w:lang w:eastAsia="es-CR"/>
              </w:rPr>
            </w:pPr>
            <w:r w:rsidRPr="005D2C72">
              <w:rPr>
                <w:rFonts w:eastAsia="Times New Roman" w:cs="Calibri"/>
                <w:color w:val="000000"/>
                <w:sz w:val="16"/>
                <w:szCs w:val="16"/>
                <w:lang w:eastAsia="es-CR"/>
              </w:rPr>
              <w:t>93.80</w:t>
            </w:r>
          </w:p>
        </w:tc>
        <w:tc>
          <w:tcPr>
            <w:tcW w:w="582" w:type="pct"/>
            <w:tcBorders>
              <w:top w:val="nil"/>
              <w:left w:val="nil"/>
              <w:bottom w:val="single" w:sz="8" w:space="0" w:color="auto"/>
              <w:right w:val="single" w:sz="8" w:space="0" w:color="auto"/>
            </w:tcBorders>
            <w:shd w:val="clear" w:color="auto" w:fill="auto"/>
            <w:vAlign w:val="center"/>
            <w:hideMark/>
          </w:tcPr>
          <w:p w14:paraId="55AE87A5" w14:textId="77777777" w:rsidR="000856BC" w:rsidRPr="005D2C72" w:rsidRDefault="000856BC" w:rsidP="000856BC">
            <w:pPr>
              <w:spacing w:after="0" w:line="240" w:lineRule="auto"/>
              <w:jc w:val="center"/>
              <w:rPr>
                <w:rFonts w:eastAsia="Times New Roman" w:cs="Calibri"/>
                <w:color w:val="000000"/>
                <w:sz w:val="16"/>
                <w:szCs w:val="16"/>
                <w:lang w:eastAsia="es-CR"/>
              </w:rPr>
            </w:pPr>
            <w:r w:rsidRPr="005D2C72">
              <w:rPr>
                <w:rFonts w:eastAsia="Times New Roman" w:cs="Calibri"/>
                <w:color w:val="000000"/>
                <w:sz w:val="16"/>
                <w:szCs w:val="16"/>
                <w:lang w:eastAsia="es-CR"/>
              </w:rPr>
              <w:t>93.42</w:t>
            </w:r>
          </w:p>
        </w:tc>
      </w:tr>
      <w:tr w:rsidR="000B3EC6" w:rsidRPr="005D2C72" w14:paraId="4CED970E" w14:textId="77777777" w:rsidTr="000B3EC6">
        <w:trPr>
          <w:trHeight w:val="402"/>
        </w:trPr>
        <w:tc>
          <w:tcPr>
            <w:tcW w:w="915" w:type="pct"/>
            <w:tcBorders>
              <w:top w:val="nil"/>
              <w:left w:val="single" w:sz="8" w:space="0" w:color="auto"/>
              <w:bottom w:val="single" w:sz="8" w:space="0" w:color="auto"/>
              <w:right w:val="single" w:sz="8" w:space="0" w:color="auto"/>
            </w:tcBorders>
            <w:shd w:val="clear" w:color="000000" w:fill="4472C4"/>
            <w:vAlign w:val="center"/>
            <w:hideMark/>
          </w:tcPr>
          <w:p w14:paraId="664A59D3" w14:textId="1D3BDFD4" w:rsidR="000856BC" w:rsidRPr="005D2C72" w:rsidRDefault="000856BC" w:rsidP="000856BC">
            <w:pPr>
              <w:spacing w:after="0" w:line="240" w:lineRule="auto"/>
              <w:rPr>
                <w:rFonts w:eastAsia="Times New Roman" w:cs="Calibri"/>
                <w:color w:val="FFFFFF"/>
                <w:sz w:val="16"/>
                <w:szCs w:val="16"/>
                <w:lang w:eastAsia="es-CR"/>
              </w:rPr>
            </w:pPr>
            <w:r w:rsidRPr="005D2C72">
              <w:rPr>
                <w:rFonts w:eastAsia="Times New Roman" w:cs="Calibri"/>
                <w:color w:val="FFFFFF"/>
                <w:sz w:val="16"/>
                <w:szCs w:val="16"/>
                <w:lang w:eastAsia="es-CR"/>
              </w:rPr>
              <w:t>Electricity Grid coverage (%)</w:t>
            </w:r>
          </w:p>
        </w:tc>
        <w:tc>
          <w:tcPr>
            <w:tcW w:w="667" w:type="pct"/>
            <w:tcBorders>
              <w:top w:val="nil"/>
              <w:left w:val="nil"/>
              <w:bottom w:val="single" w:sz="8" w:space="0" w:color="auto"/>
              <w:right w:val="single" w:sz="8" w:space="0" w:color="auto"/>
            </w:tcBorders>
            <w:shd w:val="clear" w:color="auto" w:fill="auto"/>
            <w:vAlign w:val="center"/>
            <w:hideMark/>
          </w:tcPr>
          <w:p w14:paraId="4D64D8E1" w14:textId="77777777" w:rsidR="000856BC" w:rsidRPr="005D2C72" w:rsidRDefault="000856BC" w:rsidP="000856BC">
            <w:pPr>
              <w:spacing w:after="0" w:line="240" w:lineRule="auto"/>
              <w:jc w:val="center"/>
              <w:rPr>
                <w:rFonts w:eastAsia="Times New Roman" w:cs="Calibri"/>
                <w:color w:val="000000"/>
                <w:sz w:val="16"/>
                <w:szCs w:val="16"/>
                <w:lang w:eastAsia="es-CR"/>
              </w:rPr>
            </w:pPr>
            <w:r w:rsidRPr="005D2C72">
              <w:rPr>
                <w:rFonts w:eastAsia="Times New Roman" w:cs="Calibri"/>
                <w:color w:val="000000"/>
                <w:sz w:val="16"/>
                <w:szCs w:val="16"/>
                <w:lang w:eastAsia="es-CR"/>
              </w:rPr>
              <w:t>88.60</w:t>
            </w:r>
          </w:p>
        </w:tc>
        <w:tc>
          <w:tcPr>
            <w:tcW w:w="584" w:type="pct"/>
            <w:tcBorders>
              <w:top w:val="nil"/>
              <w:left w:val="nil"/>
              <w:bottom w:val="single" w:sz="8" w:space="0" w:color="auto"/>
              <w:right w:val="single" w:sz="8" w:space="0" w:color="auto"/>
            </w:tcBorders>
            <w:shd w:val="clear" w:color="auto" w:fill="auto"/>
            <w:vAlign w:val="center"/>
            <w:hideMark/>
          </w:tcPr>
          <w:p w14:paraId="30E118CA" w14:textId="77777777" w:rsidR="000856BC" w:rsidRPr="005D2C72" w:rsidRDefault="000856BC" w:rsidP="000856BC">
            <w:pPr>
              <w:spacing w:after="0" w:line="240" w:lineRule="auto"/>
              <w:jc w:val="center"/>
              <w:rPr>
                <w:rFonts w:eastAsia="Times New Roman" w:cs="Calibri"/>
                <w:color w:val="000000"/>
                <w:sz w:val="16"/>
                <w:szCs w:val="16"/>
                <w:lang w:eastAsia="es-CR"/>
              </w:rPr>
            </w:pPr>
            <w:r w:rsidRPr="005D2C72">
              <w:rPr>
                <w:rFonts w:eastAsia="Times New Roman" w:cs="Calibri"/>
                <w:color w:val="000000"/>
                <w:sz w:val="16"/>
                <w:szCs w:val="16"/>
                <w:lang w:eastAsia="es-CR"/>
              </w:rPr>
              <w:t>83.10</w:t>
            </w:r>
          </w:p>
        </w:tc>
        <w:tc>
          <w:tcPr>
            <w:tcW w:w="584" w:type="pct"/>
            <w:tcBorders>
              <w:top w:val="nil"/>
              <w:left w:val="nil"/>
              <w:bottom w:val="single" w:sz="8" w:space="0" w:color="auto"/>
              <w:right w:val="single" w:sz="8" w:space="0" w:color="auto"/>
            </w:tcBorders>
            <w:shd w:val="clear" w:color="auto" w:fill="auto"/>
            <w:vAlign w:val="center"/>
            <w:hideMark/>
          </w:tcPr>
          <w:p w14:paraId="4680CA2F" w14:textId="77777777" w:rsidR="000856BC" w:rsidRPr="005D2C72" w:rsidRDefault="000856BC" w:rsidP="000856BC">
            <w:pPr>
              <w:spacing w:after="0" w:line="240" w:lineRule="auto"/>
              <w:jc w:val="center"/>
              <w:rPr>
                <w:rFonts w:eastAsia="Times New Roman" w:cs="Calibri"/>
                <w:color w:val="000000"/>
                <w:sz w:val="16"/>
                <w:szCs w:val="16"/>
                <w:lang w:eastAsia="es-CR"/>
              </w:rPr>
            </w:pPr>
            <w:r w:rsidRPr="005D2C72">
              <w:rPr>
                <w:rFonts w:eastAsia="Times New Roman" w:cs="Calibri"/>
                <w:color w:val="000000"/>
                <w:sz w:val="16"/>
                <w:szCs w:val="16"/>
                <w:lang w:eastAsia="es-CR"/>
              </w:rPr>
              <w:t>97.60</w:t>
            </w:r>
          </w:p>
        </w:tc>
        <w:tc>
          <w:tcPr>
            <w:tcW w:w="667" w:type="pct"/>
            <w:tcBorders>
              <w:top w:val="nil"/>
              <w:left w:val="nil"/>
              <w:bottom w:val="single" w:sz="8" w:space="0" w:color="auto"/>
              <w:right w:val="single" w:sz="8" w:space="0" w:color="auto"/>
            </w:tcBorders>
            <w:shd w:val="clear" w:color="auto" w:fill="auto"/>
            <w:vAlign w:val="center"/>
            <w:hideMark/>
          </w:tcPr>
          <w:p w14:paraId="55D94DE1" w14:textId="77777777" w:rsidR="000856BC" w:rsidRPr="005D2C72" w:rsidRDefault="000856BC" w:rsidP="000856BC">
            <w:pPr>
              <w:spacing w:after="0" w:line="240" w:lineRule="auto"/>
              <w:jc w:val="center"/>
              <w:rPr>
                <w:rFonts w:eastAsia="Times New Roman" w:cs="Calibri"/>
                <w:color w:val="000000"/>
                <w:sz w:val="16"/>
                <w:szCs w:val="16"/>
                <w:lang w:eastAsia="es-CR"/>
              </w:rPr>
            </w:pPr>
            <w:r w:rsidRPr="005D2C72">
              <w:rPr>
                <w:rFonts w:eastAsia="Times New Roman" w:cs="Calibri"/>
                <w:color w:val="000000"/>
                <w:sz w:val="16"/>
                <w:szCs w:val="16"/>
                <w:lang w:eastAsia="es-CR"/>
              </w:rPr>
              <w:t>96.20</w:t>
            </w:r>
          </w:p>
        </w:tc>
        <w:tc>
          <w:tcPr>
            <w:tcW w:w="416" w:type="pct"/>
            <w:tcBorders>
              <w:top w:val="nil"/>
              <w:left w:val="nil"/>
              <w:bottom w:val="single" w:sz="8" w:space="0" w:color="auto"/>
              <w:right w:val="single" w:sz="8" w:space="0" w:color="auto"/>
            </w:tcBorders>
            <w:shd w:val="clear" w:color="auto" w:fill="auto"/>
            <w:vAlign w:val="center"/>
            <w:hideMark/>
          </w:tcPr>
          <w:p w14:paraId="0C8DA4A8" w14:textId="77777777" w:rsidR="000856BC" w:rsidRPr="005D2C72" w:rsidRDefault="000856BC" w:rsidP="000856BC">
            <w:pPr>
              <w:spacing w:after="0" w:line="240" w:lineRule="auto"/>
              <w:jc w:val="center"/>
              <w:rPr>
                <w:rFonts w:eastAsia="Times New Roman" w:cs="Calibri"/>
                <w:color w:val="000000"/>
                <w:sz w:val="16"/>
                <w:szCs w:val="16"/>
                <w:lang w:eastAsia="es-CR"/>
              </w:rPr>
            </w:pPr>
            <w:r w:rsidRPr="005D2C72">
              <w:rPr>
                <w:rFonts w:eastAsia="Times New Roman" w:cs="Calibri"/>
                <w:color w:val="000000"/>
                <w:sz w:val="16"/>
                <w:szCs w:val="16"/>
                <w:lang w:eastAsia="es-CR"/>
              </w:rPr>
              <w:t>99.40</w:t>
            </w:r>
          </w:p>
        </w:tc>
        <w:tc>
          <w:tcPr>
            <w:tcW w:w="584" w:type="pct"/>
            <w:tcBorders>
              <w:top w:val="nil"/>
              <w:left w:val="nil"/>
              <w:bottom w:val="single" w:sz="8" w:space="0" w:color="auto"/>
              <w:right w:val="single" w:sz="8" w:space="0" w:color="auto"/>
            </w:tcBorders>
            <w:shd w:val="clear" w:color="auto" w:fill="auto"/>
            <w:vAlign w:val="center"/>
            <w:hideMark/>
          </w:tcPr>
          <w:p w14:paraId="30F2746F" w14:textId="77777777" w:rsidR="000856BC" w:rsidRPr="005D2C72" w:rsidRDefault="000856BC" w:rsidP="000856BC">
            <w:pPr>
              <w:spacing w:after="0" w:line="240" w:lineRule="auto"/>
              <w:jc w:val="center"/>
              <w:rPr>
                <w:rFonts w:eastAsia="Times New Roman" w:cs="Calibri"/>
                <w:color w:val="000000"/>
                <w:sz w:val="16"/>
                <w:szCs w:val="16"/>
                <w:lang w:eastAsia="es-CR"/>
              </w:rPr>
            </w:pPr>
            <w:r w:rsidRPr="005D2C72">
              <w:rPr>
                <w:rFonts w:eastAsia="Times New Roman" w:cs="Calibri"/>
                <w:color w:val="000000"/>
                <w:sz w:val="16"/>
                <w:szCs w:val="16"/>
                <w:lang w:eastAsia="es-CR"/>
              </w:rPr>
              <w:t>93.00</w:t>
            </w:r>
          </w:p>
        </w:tc>
        <w:tc>
          <w:tcPr>
            <w:tcW w:w="582" w:type="pct"/>
            <w:tcBorders>
              <w:top w:val="nil"/>
              <w:left w:val="nil"/>
              <w:bottom w:val="single" w:sz="8" w:space="0" w:color="auto"/>
              <w:right w:val="single" w:sz="8" w:space="0" w:color="auto"/>
            </w:tcBorders>
            <w:shd w:val="clear" w:color="auto" w:fill="auto"/>
            <w:vAlign w:val="center"/>
            <w:hideMark/>
          </w:tcPr>
          <w:p w14:paraId="60699107" w14:textId="77777777" w:rsidR="000856BC" w:rsidRPr="005D2C72" w:rsidRDefault="000856BC" w:rsidP="000856BC">
            <w:pPr>
              <w:spacing w:after="0" w:line="240" w:lineRule="auto"/>
              <w:jc w:val="center"/>
              <w:rPr>
                <w:rFonts w:eastAsia="Times New Roman" w:cs="Calibri"/>
                <w:color w:val="000000"/>
                <w:sz w:val="16"/>
                <w:szCs w:val="16"/>
                <w:lang w:eastAsia="es-CR"/>
              </w:rPr>
            </w:pPr>
            <w:r w:rsidRPr="005D2C72">
              <w:rPr>
                <w:rFonts w:eastAsia="Times New Roman" w:cs="Calibri"/>
                <w:color w:val="000000"/>
                <w:sz w:val="16"/>
                <w:szCs w:val="16"/>
                <w:lang w:eastAsia="es-CR"/>
              </w:rPr>
              <w:t>92.98</w:t>
            </w:r>
          </w:p>
        </w:tc>
      </w:tr>
      <w:tr w:rsidR="000B3EC6" w:rsidRPr="005D2C72" w14:paraId="37F9527A" w14:textId="77777777" w:rsidTr="000B3EC6">
        <w:trPr>
          <w:trHeight w:val="402"/>
        </w:trPr>
        <w:tc>
          <w:tcPr>
            <w:tcW w:w="915" w:type="pct"/>
            <w:tcBorders>
              <w:top w:val="nil"/>
              <w:left w:val="single" w:sz="8" w:space="0" w:color="auto"/>
              <w:bottom w:val="single" w:sz="8" w:space="0" w:color="auto"/>
              <w:right w:val="single" w:sz="8" w:space="0" w:color="auto"/>
            </w:tcBorders>
            <w:shd w:val="clear" w:color="000000" w:fill="4472C4"/>
            <w:vAlign w:val="center"/>
            <w:hideMark/>
          </w:tcPr>
          <w:p w14:paraId="51C8C1F0" w14:textId="77777777" w:rsidR="000856BC" w:rsidRPr="005D2C72" w:rsidRDefault="000856BC" w:rsidP="000856BC">
            <w:pPr>
              <w:spacing w:after="0" w:line="240" w:lineRule="auto"/>
              <w:rPr>
                <w:rFonts w:eastAsia="Times New Roman" w:cs="Calibri"/>
                <w:color w:val="FFFFFF"/>
                <w:sz w:val="16"/>
                <w:szCs w:val="16"/>
                <w:lang w:eastAsia="es-CR"/>
              </w:rPr>
            </w:pPr>
            <w:r w:rsidRPr="005D2C72">
              <w:rPr>
                <w:rFonts w:eastAsia="Times New Roman" w:cs="Calibri"/>
                <w:color w:val="FFFFFF"/>
                <w:sz w:val="16"/>
                <w:szCs w:val="16"/>
                <w:lang w:eastAsia="es-CR"/>
              </w:rPr>
              <w:t>Isolated Systems coverage (%)</w:t>
            </w:r>
          </w:p>
        </w:tc>
        <w:tc>
          <w:tcPr>
            <w:tcW w:w="667" w:type="pct"/>
            <w:tcBorders>
              <w:top w:val="nil"/>
              <w:left w:val="nil"/>
              <w:bottom w:val="single" w:sz="8" w:space="0" w:color="auto"/>
              <w:right w:val="single" w:sz="8" w:space="0" w:color="auto"/>
            </w:tcBorders>
            <w:shd w:val="clear" w:color="auto" w:fill="auto"/>
            <w:vAlign w:val="center"/>
            <w:hideMark/>
          </w:tcPr>
          <w:p w14:paraId="1DC4E377" w14:textId="77777777" w:rsidR="000856BC" w:rsidRPr="005D2C72" w:rsidRDefault="000856BC" w:rsidP="000856BC">
            <w:pPr>
              <w:spacing w:after="0" w:line="240" w:lineRule="auto"/>
              <w:jc w:val="center"/>
              <w:rPr>
                <w:rFonts w:eastAsia="Times New Roman" w:cs="Calibri"/>
                <w:color w:val="000000"/>
                <w:sz w:val="16"/>
                <w:szCs w:val="16"/>
                <w:lang w:eastAsia="es-CR"/>
              </w:rPr>
            </w:pPr>
            <w:r w:rsidRPr="005D2C72">
              <w:rPr>
                <w:rFonts w:eastAsia="Times New Roman" w:cs="Calibri"/>
                <w:color w:val="000000"/>
                <w:sz w:val="16"/>
                <w:szCs w:val="16"/>
                <w:lang w:eastAsia="es-CR"/>
              </w:rPr>
              <w:t>3.10</w:t>
            </w:r>
          </w:p>
        </w:tc>
        <w:tc>
          <w:tcPr>
            <w:tcW w:w="584" w:type="pct"/>
            <w:tcBorders>
              <w:top w:val="nil"/>
              <w:left w:val="nil"/>
              <w:bottom w:val="single" w:sz="8" w:space="0" w:color="auto"/>
              <w:right w:val="single" w:sz="8" w:space="0" w:color="auto"/>
            </w:tcBorders>
            <w:shd w:val="clear" w:color="auto" w:fill="auto"/>
            <w:vAlign w:val="center"/>
            <w:hideMark/>
          </w:tcPr>
          <w:p w14:paraId="25570674" w14:textId="77777777" w:rsidR="000856BC" w:rsidRPr="005D2C72" w:rsidRDefault="000856BC" w:rsidP="000856BC">
            <w:pPr>
              <w:spacing w:after="0" w:line="240" w:lineRule="auto"/>
              <w:jc w:val="center"/>
              <w:rPr>
                <w:rFonts w:eastAsia="Times New Roman" w:cs="Calibri"/>
                <w:color w:val="000000"/>
                <w:sz w:val="16"/>
                <w:szCs w:val="16"/>
                <w:lang w:eastAsia="es-CR"/>
              </w:rPr>
            </w:pPr>
            <w:r w:rsidRPr="005D2C72">
              <w:rPr>
                <w:rFonts w:eastAsia="Times New Roman" w:cs="Calibri"/>
                <w:color w:val="000000"/>
                <w:sz w:val="16"/>
                <w:szCs w:val="16"/>
                <w:lang w:eastAsia="es-CR"/>
              </w:rPr>
              <w:t>1.90</w:t>
            </w:r>
          </w:p>
        </w:tc>
        <w:tc>
          <w:tcPr>
            <w:tcW w:w="584" w:type="pct"/>
            <w:tcBorders>
              <w:top w:val="nil"/>
              <w:left w:val="nil"/>
              <w:bottom w:val="single" w:sz="8" w:space="0" w:color="auto"/>
              <w:right w:val="single" w:sz="8" w:space="0" w:color="auto"/>
            </w:tcBorders>
            <w:shd w:val="clear" w:color="auto" w:fill="auto"/>
            <w:vAlign w:val="center"/>
            <w:hideMark/>
          </w:tcPr>
          <w:p w14:paraId="169F48CA" w14:textId="77777777" w:rsidR="000856BC" w:rsidRPr="005D2C72" w:rsidRDefault="000856BC" w:rsidP="000856BC">
            <w:pPr>
              <w:spacing w:after="0" w:line="240" w:lineRule="auto"/>
              <w:jc w:val="center"/>
              <w:rPr>
                <w:rFonts w:eastAsia="Times New Roman" w:cs="Calibri"/>
                <w:color w:val="000000"/>
                <w:sz w:val="16"/>
                <w:szCs w:val="16"/>
                <w:lang w:eastAsia="es-CR"/>
              </w:rPr>
            </w:pPr>
            <w:r w:rsidRPr="005D2C72">
              <w:rPr>
                <w:rFonts w:eastAsia="Times New Roman" w:cs="Calibri"/>
                <w:color w:val="000000"/>
                <w:sz w:val="16"/>
                <w:szCs w:val="16"/>
                <w:lang w:eastAsia="es-CR"/>
              </w:rPr>
              <w:t>0.30</w:t>
            </w:r>
          </w:p>
        </w:tc>
        <w:tc>
          <w:tcPr>
            <w:tcW w:w="667" w:type="pct"/>
            <w:tcBorders>
              <w:top w:val="nil"/>
              <w:left w:val="nil"/>
              <w:bottom w:val="single" w:sz="8" w:space="0" w:color="auto"/>
              <w:right w:val="single" w:sz="8" w:space="0" w:color="auto"/>
            </w:tcBorders>
            <w:shd w:val="clear" w:color="auto" w:fill="auto"/>
            <w:vAlign w:val="center"/>
            <w:hideMark/>
          </w:tcPr>
          <w:p w14:paraId="77B82D25" w14:textId="77777777" w:rsidR="000856BC" w:rsidRPr="005D2C72" w:rsidRDefault="000856BC" w:rsidP="000856BC">
            <w:pPr>
              <w:spacing w:after="0" w:line="240" w:lineRule="auto"/>
              <w:jc w:val="center"/>
              <w:rPr>
                <w:rFonts w:eastAsia="Times New Roman" w:cs="Calibri"/>
                <w:color w:val="000000"/>
                <w:sz w:val="16"/>
                <w:szCs w:val="16"/>
                <w:lang w:eastAsia="es-CR"/>
              </w:rPr>
            </w:pPr>
            <w:r w:rsidRPr="005D2C72">
              <w:rPr>
                <w:rFonts w:eastAsia="Times New Roman" w:cs="Calibri"/>
                <w:color w:val="000000"/>
                <w:sz w:val="16"/>
                <w:szCs w:val="16"/>
                <w:lang w:eastAsia="es-CR"/>
              </w:rPr>
              <w:t>1.00</w:t>
            </w:r>
          </w:p>
        </w:tc>
        <w:tc>
          <w:tcPr>
            <w:tcW w:w="416" w:type="pct"/>
            <w:tcBorders>
              <w:top w:val="nil"/>
              <w:left w:val="nil"/>
              <w:bottom w:val="single" w:sz="8" w:space="0" w:color="auto"/>
              <w:right w:val="single" w:sz="8" w:space="0" w:color="auto"/>
            </w:tcBorders>
            <w:shd w:val="clear" w:color="auto" w:fill="auto"/>
            <w:vAlign w:val="center"/>
            <w:hideMark/>
          </w:tcPr>
          <w:p w14:paraId="6FA8D462" w14:textId="77777777" w:rsidR="000856BC" w:rsidRPr="005D2C72" w:rsidRDefault="000856BC" w:rsidP="000856BC">
            <w:pPr>
              <w:spacing w:after="0" w:line="240" w:lineRule="auto"/>
              <w:jc w:val="center"/>
              <w:rPr>
                <w:rFonts w:eastAsia="Times New Roman" w:cs="Calibri"/>
                <w:color w:val="000000"/>
                <w:sz w:val="16"/>
                <w:szCs w:val="16"/>
                <w:lang w:eastAsia="es-CR"/>
              </w:rPr>
            </w:pPr>
            <w:r w:rsidRPr="005D2C72">
              <w:rPr>
                <w:rFonts w:eastAsia="Times New Roman" w:cs="Calibri"/>
                <w:color w:val="000000"/>
                <w:sz w:val="16"/>
                <w:szCs w:val="16"/>
                <w:lang w:eastAsia="es-CR"/>
              </w:rPr>
              <w:t>n.d.</w:t>
            </w:r>
          </w:p>
        </w:tc>
        <w:tc>
          <w:tcPr>
            <w:tcW w:w="584" w:type="pct"/>
            <w:tcBorders>
              <w:top w:val="nil"/>
              <w:left w:val="nil"/>
              <w:bottom w:val="single" w:sz="8" w:space="0" w:color="auto"/>
              <w:right w:val="single" w:sz="8" w:space="0" w:color="auto"/>
            </w:tcBorders>
            <w:shd w:val="clear" w:color="auto" w:fill="auto"/>
            <w:vAlign w:val="center"/>
            <w:hideMark/>
          </w:tcPr>
          <w:p w14:paraId="3AE89BD4" w14:textId="77777777" w:rsidR="000856BC" w:rsidRPr="005D2C72" w:rsidRDefault="000856BC" w:rsidP="000856BC">
            <w:pPr>
              <w:spacing w:after="0" w:line="240" w:lineRule="auto"/>
              <w:jc w:val="center"/>
              <w:rPr>
                <w:rFonts w:eastAsia="Times New Roman" w:cs="Calibri"/>
                <w:color w:val="000000"/>
                <w:sz w:val="16"/>
                <w:szCs w:val="16"/>
                <w:lang w:eastAsia="es-CR"/>
              </w:rPr>
            </w:pPr>
            <w:r w:rsidRPr="005D2C72">
              <w:rPr>
                <w:rFonts w:eastAsia="Times New Roman" w:cs="Calibri"/>
                <w:color w:val="000000"/>
                <w:sz w:val="16"/>
                <w:szCs w:val="16"/>
                <w:lang w:eastAsia="es-CR"/>
              </w:rPr>
              <w:t>0.90</w:t>
            </w:r>
          </w:p>
        </w:tc>
        <w:tc>
          <w:tcPr>
            <w:tcW w:w="582" w:type="pct"/>
            <w:tcBorders>
              <w:top w:val="nil"/>
              <w:left w:val="nil"/>
              <w:bottom w:val="single" w:sz="8" w:space="0" w:color="auto"/>
              <w:right w:val="single" w:sz="8" w:space="0" w:color="auto"/>
            </w:tcBorders>
            <w:shd w:val="clear" w:color="auto" w:fill="auto"/>
            <w:vAlign w:val="center"/>
            <w:hideMark/>
          </w:tcPr>
          <w:p w14:paraId="08AEE0F8" w14:textId="77777777" w:rsidR="000856BC" w:rsidRPr="005D2C72" w:rsidRDefault="000856BC" w:rsidP="000856BC">
            <w:pPr>
              <w:spacing w:after="0" w:line="240" w:lineRule="auto"/>
              <w:jc w:val="center"/>
              <w:rPr>
                <w:rFonts w:eastAsia="Times New Roman" w:cs="Calibri"/>
                <w:color w:val="000000"/>
                <w:sz w:val="16"/>
                <w:szCs w:val="16"/>
                <w:lang w:eastAsia="es-CR"/>
              </w:rPr>
            </w:pPr>
            <w:r w:rsidRPr="005D2C72">
              <w:rPr>
                <w:rFonts w:eastAsia="Times New Roman" w:cs="Calibri"/>
                <w:color w:val="000000"/>
                <w:sz w:val="16"/>
                <w:szCs w:val="16"/>
                <w:lang w:eastAsia="es-CR"/>
              </w:rPr>
              <w:t>1.44</w:t>
            </w:r>
          </w:p>
        </w:tc>
      </w:tr>
      <w:tr w:rsidR="000B3EC6" w:rsidRPr="005D2C72" w14:paraId="6BFE3DCE" w14:textId="77777777" w:rsidTr="000B3EC6">
        <w:trPr>
          <w:trHeight w:val="402"/>
        </w:trPr>
        <w:tc>
          <w:tcPr>
            <w:tcW w:w="915" w:type="pct"/>
            <w:tcBorders>
              <w:top w:val="nil"/>
              <w:left w:val="single" w:sz="8" w:space="0" w:color="auto"/>
              <w:bottom w:val="single" w:sz="8" w:space="0" w:color="auto"/>
              <w:right w:val="single" w:sz="8" w:space="0" w:color="auto"/>
            </w:tcBorders>
            <w:shd w:val="clear" w:color="000000" w:fill="4472C4"/>
            <w:vAlign w:val="center"/>
            <w:hideMark/>
          </w:tcPr>
          <w:p w14:paraId="72DDD7A0" w14:textId="77777777" w:rsidR="000856BC" w:rsidRPr="005D2C72" w:rsidRDefault="000856BC" w:rsidP="000856BC">
            <w:pPr>
              <w:spacing w:after="0" w:line="240" w:lineRule="auto"/>
              <w:rPr>
                <w:rFonts w:eastAsia="Times New Roman" w:cs="Calibri"/>
                <w:color w:val="FFFFFF"/>
                <w:sz w:val="16"/>
                <w:szCs w:val="16"/>
                <w:lang w:eastAsia="es-CR"/>
              </w:rPr>
            </w:pPr>
            <w:r w:rsidRPr="005D2C72">
              <w:rPr>
                <w:rFonts w:eastAsia="Times New Roman" w:cs="Calibri"/>
                <w:color w:val="FFFFFF"/>
                <w:sz w:val="16"/>
                <w:szCs w:val="16"/>
                <w:lang w:eastAsia="es-CR"/>
              </w:rPr>
              <w:t>Energy Demand (GWh)</w:t>
            </w:r>
          </w:p>
        </w:tc>
        <w:tc>
          <w:tcPr>
            <w:tcW w:w="667" w:type="pct"/>
            <w:tcBorders>
              <w:top w:val="nil"/>
              <w:left w:val="nil"/>
              <w:bottom w:val="single" w:sz="8" w:space="0" w:color="auto"/>
              <w:right w:val="single" w:sz="8" w:space="0" w:color="auto"/>
            </w:tcBorders>
            <w:shd w:val="clear" w:color="auto" w:fill="auto"/>
            <w:vAlign w:val="center"/>
            <w:hideMark/>
          </w:tcPr>
          <w:p w14:paraId="43A61600" w14:textId="60758F3F" w:rsidR="000856BC" w:rsidRPr="005D2C72" w:rsidRDefault="000856BC" w:rsidP="00623504">
            <w:pPr>
              <w:spacing w:after="0" w:line="240" w:lineRule="auto"/>
              <w:jc w:val="center"/>
              <w:rPr>
                <w:rFonts w:eastAsia="Times New Roman" w:cs="Calibri"/>
                <w:color w:val="000000"/>
                <w:sz w:val="16"/>
                <w:szCs w:val="16"/>
                <w:lang w:eastAsia="es-CR"/>
              </w:rPr>
            </w:pPr>
            <w:r w:rsidRPr="005D2C72">
              <w:rPr>
                <w:rFonts w:eastAsia="Times New Roman" w:cs="Calibri"/>
                <w:color w:val="000000"/>
                <w:sz w:val="16"/>
                <w:szCs w:val="16"/>
                <w:lang w:eastAsia="es-CR"/>
              </w:rPr>
              <w:t>12,228</w:t>
            </w:r>
          </w:p>
        </w:tc>
        <w:tc>
          <w:tcPr>
            <w:tcW w:w="584" w:type="pct"/>
            <w:tcBorders>
              <w:top w:val="nil"/>
              <w:left w:val="nil"/>
              <w:bottom w:val="single" w:sz="8" w:space="0" w:color="auto"/>
              <w:right w:val="single" w:sz="8" w:space="0" w:color="auto"/>
            </w:tcBorders>
            <w:shd w:val="clear" w:color="auto" w:fill="auto"/>
            <w:vAlign w:val="center"/>
            <w:hideMark/>
          </w:tcPr>
          <w:p w14:paraId="55A6E806" w14:textId="78F87BEC" w:rsidR="000856BC" w:rsidRPr="005D2C72" w:rsidRDefault="000856BC" w:rsidP="00623504">
            <w:pPr>
              <w:spacing w:after="0" w:line="240" w:lineRule="auto"/>
              <w:jc w:val="center"/>
              <w:rPr>
                <w:rFonts w:eastAsia="Times New Roman" w:cs="Calibri"/>
                <w:color w:val="000000"/>
                <w:sz w:val="16"/>
                <w:szCs w:val="16"/>
                <w:lang w:eastAsia="es-CR"/>
              </w:rPr>
            </w:pPr>
            <w:r w:rsidRPr="005D2C72">
              <w:rPr>
                <w:rFonts w:eastAsia="Times New Roman" w:cs="Calibri"/>
                <w:color w:val="000000"/>
                <w:sz w:val="16"/>
                <w:szCs w:val="16"/>
                <w:lang w:eastAsia="es-CR"/>
              </w:rPr>
              <w:t>9,253</w:t>
            </w:r>
          </w:p>
        </w:tc>
        <w:tc>
          <w:tcPr>
            <w:tcW w:w="584" w:type="pct"/>
            <w:tcBorders>
              <w:top w:val="nil"/>
              <w:left w:val="nil"/>
              <w:bottom w:val="single" w:sz="8" w:space="0" w:color="auto"/>
              <w:right w:val="single" w:sz="8" w:space="0" w:color="auto"/>
            </w:tcBorders>
            <w:shd w:val="clear" w:color="auto" w:fill="auto"/>
            <w:vAlign w:val="center"/>
            <w:hideMark/>
          </w:tcPr>
          <w:p w14:paraId="7F2008D7" w14:textId="58EEAD99" w:rsidR="000856BC" w:rsidRPr="005D2C72" w:rsidRDefault="000856BC" w:rsidP="00623504">
            <w:pPr>
              <w:spacing w:after="0" w:line="240" w:lineRule="auto"/>
              <w:jc w:val="center"/>
              <w:rPr>
                <w:rFonts w:eastAsia="Times New Roman" w:cs="Calibri"/>
                <w:color w:val="000000"/>
                <w:sz w:val="16"/>
                <w:szCs w:val="16"/>
                <w:lang w:eastAsia="es-CR"/>
              </w:rPr>
            </w:pPr>
            <w:r w:rsidRPr="005D2C72">
              <w:rPr>
                <w:rFonts w:eastAsia="Times New Roman" w:cs="Calibri"/>
                <w:color w:val="000000"/>
                <w:sz w:val="16"/>
                <w:szCs w:val="16"/>
                <w:lang w:eastAsia="es-CR"/>
              </w:rPr>
              <w:t>5,672</w:t>
            </w:r>
          </w:p>
        </w:tc>
        <w:tc>
          <w:tcPr>
            <w:tcW w:w="667" w:type="pct"/>
            <w:tcBorders>
              <w:top w:val="nil"/>
              <w:left w:val="nil"/>
              <w:bottom w:val="single" w:sz="8" w:space="0" w:color="auto"/>
              <w:right w:val="single" w:sz="8" w:space="0" w:color="auto"/>
            </w:tcBorders>
            <w:shd w:val="clear" w:color="auto" w:fill="auto"/>
            <w:vAlign w:val="center"/>
            <w:hideMark/>
          </w:tcPr>
          <w:p w14:paraId="0B001812" w14:textId="61C82C49" w:rsidR="000856BC" w:rsidRPr="005D2C72" w:rsidRDefault="000856BC" w:rsidP="00623504">
            <w:pPr>
              <w:spacing w:after="0" w:line="240" w:lineRule="auto"/>
              <w:jc w:val="center"/>
              <w:rPr>
                <w:rFonts w:eastAsia="Times New Roman" w:cs="Calibri"/>
                <w:color w:val="000000"/>
                <w:sz w:val="16"/>
                <w:szCs w:val="16"/>
                <w:lang w:eastAsia="es-CR"/>
              </w:rPr>
            </w:pPr>
            <w:r w:rsidRPr="005D2C72">
              <w:rPr>
                <w:rFonts w:eastAsia="Times New Roman" w:cs="Calibri"/>
                <w:color w:val="000000"/>
                <w:sz w:val="16"/>
                <w:szCs w:val="16"/>
                <w:lang w:eastAsia="es-CR"/>
              </w:rPr>
              <w:t>4,05</w:t>
            </w:r>
            <w:r w:rsidR="00623504" w:rsidRPr="005D2C72">
              <w:rPr>
                <w:rFonts w:eastAsia="Times New Roman" w:cs="Calibri"/>
                <w:color w:val="000000"/>
                <w:sz w:val="16"/>
                <w:szCs w:val="16"/>
                <w:lang w:eastAsia="es-CR"/>
              </w:rPr>
              <w:t>7</w:t>
            </w:r>
          </w:p>
        </w:tc>
        <w:tc>
          <w:tcPr>
            <w:tcW w:w="416" w:type="pct"/>
            <w:tcBorders>
              <w:top w:val="nil"/>
              <w:left w:val="nil"/>
              <w:bottom w:val="single" w:sz="8" w:space="0" w:color="auto"/>
              <w:right w:val="single" w:sz="8" w:space="0" w:color="auto"/>
            </w:tcBorders>
            <w:shd w:val="clear" w:color="auto" w:fill="auto"/>
            <w:vAlign w:val="center"/>
            <w:hideMark/>
          </w:tcPr>
          <w:p w14:paraId="1DA816AD" w14:textId="5FEB2BDD" w:rsidR="000856BC" w:rsidRPr="005D2C72" w:rsidRDefault="000856BC" w:rsidP="00623504">
            <w:pPr>
              <w:spacing w:after="0" w:line="240" w:lineRule="auto"/>
              <w:jc w:val="center"/>
              <w:rPr>
                <w:rFonts w:eastAsia="Times New Roman" w:cs="Calibri"/>
                <w:color w:val="000000"/>
                <w:sz w:val="16"/>
                <w:szCs w:val="16"/>
                <w:lang w:eastAsia="es-CR"/>
              </w:rPr>
            </w:pPr>
            <w:r w:rsidRPr="005D2C72">
              <w:rPr>
                <w:rFonts w:eastAsia="Times New Roman" w:cs="Calibri"/>
                <w:color w:val="000000"/>
                <w:sz w:val="16"/>
                <w:szCs w:val="16"/>
                <w:lang w:eastAsia="es-CR"/>
              </w:rPr>
              <w:t>11,31</w:t>
            </w:r>
            <w:r w:rsidR="00623504" w:rsidRPr="005D2C72">
              <w:rPr>
                <w:rFonts w:eastAsia="Times New Roman" w:cs="Calibri"/>
                <w:color w:val="000000"/>
                <w:sz w:val="16"/>
                <w:szCs w:val="16"/>
                <w:lang w:eastAsia="es-CR"/>
              </w:rPr>
              <w:t>3</w:t>
            </w:r>
          </w:p>
        </w:tc>
        <w:tc>
          <w:tcPr>
            <w:tcW w:w="584" w:type="pct"/>
            <w:tcBorders>
              <w:top w:val="nil"/>
              <w:left w:val="nil"/>
              <w:bottom w:val="single" w:sz="8" w:space="0" w:color="auto"/>
              <w:right w:val="single" w:sz="8" w:space="0" w:color="auto"/>
            </w:tcBorders>
            <w:shd w:val="clear" w:color="auto" w:fill="auto"/>
            <w:vAlign w:val="center"/>
            <w:hideMark/>
          </w:tcPr>
          <w:p w14:paraId="547A9DCC" w14:textId="550EC939" w:rsidR="000856BC" w:rsidRPr="005D2C72" w:rsidRDefault="000856BC" w:rsidP="00623504">
            <w:pPr>
              <w:spacing w:after="0" w:line="240" w:lineRule="auto"/>
              <w:jc w:val="center"/>
              <w:rPr>
                <w:rFonts w:eastAsia="Times New Roman" w:cs="Calibri"/>
                <w:color w:val="000000"/>
                <w:sz w:val="16"/>
                <w:szCs w:val="16"/>
                <w:lang w:eastAsia="es-CR"/>
              </w:rPr>
            </w:pPr>
            <w:r w:rsidRPr="005D2C72">
              <w:rPr>
                <w:rFonts w:eastAsia="Times New Roman" w:cs="Calibri"/>
                <w:color w:val="000000"/>
                <w:sz w:val="16"/>
                <w:szCs w:val="16"/>
                <w:lang w:eastAsia="es-CR"/>
              </w:rPr>
              <w:t>11,552</w:t>
            </w:r>
          </w:p>
        </w:tc>
        <w:tc>
          <w:tcPr>
            <w:tcW w:w="582" w:type="pct"/>
            <w:tcBorders>
              <w:top w:val="nil"/>
              <w:left w:val="nil"/>
              <w:bottom w:val="single" w:sz="8" w:space="0" w:color="auto"/>
              <w:right w:val="single" w:sz="8" w:space="0" w:color="auto"/>
            </w:tcBorders>
            <w:shd w:val="clear" w:color="auto" w:fill="auto"/>
            <w:vAlign w:val="center"/>
            <w:hideMark/>
          </w:tcPr>
          <w:p w14:paraId="7F0488BA" w14:textId="48193908" w:rsidR="000856BC" w:rsidRPr="005D2C72" w:rsidRDefault="000856BC" w:rsidP="00623504">
            <w:pPr>
              <w:spacing w:after="0" w:line="240" w:lineRule="auto"/>
              <w:jc w:val="center"/>
              <w:rPr>
                <w:rFonts w:eastAsia="Times New Roman" w:cs="Calibri"/>
                <w:color w:val="000000"/>
                <w:sz w:val="16"/>
                <w:szCs w:val="16"/>
                <w:lang w:eastAsia="es-CR"/>
              </w:rPr>
            </w:pPr>
            <w:r w:rsidRPr="005D2C72">
              <w:rPr>
                <w:rFonts w:eastAsia="Times New Roman" w:cs="Calibri"/>
                <w:color w:val="000000"/>
                <w:sz w:val="16"/>
                <w:szCs w:val="16"/>
                <w:lang w:eastAsia="es-CR"/>
              </w:rPr>
              <w:t>9,01</w:t>
            </w:r>
            <w:r w:rsidR="00623504" w:rsidRPr="005D2C72">
              <w:rPr>
                <w:rFonts w:eastAsia="Times New Roman" w:cs="Calibri"/>
                <w:color w:val="000000"/>
                <w:sz w:val="16"/>
                <w:szCs w:val="16"/>
                <w:lang w:eastAsia="es-CR"/>
              </w:rPr>
              <w:t>3</w:t>
            </w:r>
          </w:p>
        </w:tc>
      </w:tr>
    </w:tbl>
    <w:p w14:paraId="051B9087" w14:textId="26DE2EAD" w:rsidR="00315ECA" w:rsidRPr="00F73500" w:rsidRDefault="00472B84" w:rsidP="00336136">
      <w:pPr>
        <w:keepNext/>
        <w:spacing w:line="240" w:lineRule="auto"/>
        <w:jc w:val="left"/>
        <w:rPr>
          <w:sz w:val="16"/>
          <w:szCs w:val="16"/>
        </w:rPr>
      </w:pPr>
      <w:r w:rsidRPr="005D2C72">
        <w:rPr>
          <w:i/>
          <w:iCs/>
          <w:sz w:val="16"/>
          <w:szCs w:val="16"/>
        </w:rPr>
        <w:t>Source:</w:t>
      </w:r>
      <w:r w:rsidR="00F73500" w:rsidRPr="005D2C72">
        <w:rPr>
          <w:sz w:val="16"/>
          <w:szCs w:val="16"/>
        </w:rPr>
        <w:t xml:space="preserve"> </w:t>
      </w:r>
      <w:r w:rsidR="00F73500" w:rsidRPr="005D2C72">
        <w:rPr>
          <w:i/>
          <w:iCs/>
          <w:sz w:val="16"/>
          <w:szCs w:val="16"/>
        </w:rPr>
        <w:t>CEPAL, Statistics of the electricity subsector in Central American countries</w:t>
      </w:r>
      <w:r w:rsidR="005A4380" w:rsidRPr="005D2C72">
        <w:rPr>
          <w:i/>
          <w:iCs/>
          <w:sz w:val="16"/>
          <w:szCs w:val="16"/>
        </w:rPr>
        <w:t xml:space="preserve"> (2019- 2020)</w:t>
      </w:r>
      <w:r w:rsidR="00F73500" w:rsidRPr="005D2C72">
        <w:rPr>
          <w:i/>
          <w:iCs/>
          <w:sz w:val="16"/>
          <w:szCs w:val="16"/>
        </w:rPr>
        <w:t>.</w:t>
      </w:r>
      <w:r w:rsidR="00F73500" w:rsidRPr="00F73500">
        <w:rPr>
          <w:i/>
          <w:iCs/>
          <w:sz w:val="16"/>
          <w:szCs w:val="16"/>
        </w:rPr>
        <w:t xml:space="preserve"> </w:t>
      </w:r>
      <w:r w:rsidR="00BA2579" w:rsidRPr="00F73500">
        <w:rPr>
          <w:i/>
          <w:iCs/>
          <w:sz w:val="16"/>
          <w:szCs w:val="16"/>
        </w:rPr>
        <w:t>&lt;</w:t>
      </w:r>
      <w:hyperlink r:id="rId22" w:history="1">
        <w:r w:rsidRPr="00F73500">
          <w:rPr>
            <w:rStyle w:val="Hipervnculo"/>
            <w:i/>
            <w:iCs/>
            <w:sz w:val="16"/>
            <w:szCs w:val="16"/>
          </w:rPr>
          <w:t>https://www.cepal.org/es/publicaciones/47019-estadisticas-subsector-electrico-paises-sistema-la-integracion-centroamericana</w:t>
        </w:r>
      </w:hyperlink>
      <w:r w:rsidRPr="00F73500">
        <w:rPr>
          <w:i/>
          <w:iCs/>
          <w:sz w:val="16"/>
          <w:szCs w:val="16"/>
        </w:rPr>
        <w:t xml:space="preserve"> </w:t>
      </w:r>
      <w:r w:rsidR="00BA2579" w:rsidRPr="00F73500">
        <w:rPr>
          <w:sz w:val="16"/>
          <w:szCs w:val="16"/>
        </w:rPr>
        <w:t>&gt;</w:t>
      </w:r>
      <w:r w:rsidR="00AB7C5A" w:rsidRPr="00F73500">
        <w:rPr>
          <w:sz w:val="16"/>
          <w:szCs w:val="16"/>
        </w:rPr>
        <w:t xml:space="preserve"> and </w:t>
      </w:r>
      <w:r w:rsidR="00AB7C5A" w:rsidRPr="00F73500">
        <w:rPr>
          <w:rFonts w:eastAsia="Times New Roman" w:cs="Times New Roman"/>
          <w:i/>
          <w:iCs/>
          <w:sz w:val="16"/>
          <w:szCs w:val="16"/>
        </w:rPr>
        <w:t>Wold</w:t>
      </w:r>
      <w:r w:rsidR="004507A2">
        <w:rPr>
          <w:rFonts w:eastAsia="Times New Roman" w:cs="Times New Roman"/>
          <w:i/>
          <w:iCs/>
          <w:sz w:val="16"/>
          <w:szCs w:val="16"/>
        </w:rPr>
        <w:t xml:space="preserve"> </w:t>
      </w:r>
      <w:r w:rsidR="00AB7C5A" w:rsidRPr="00F73500">
        <w:rPr>
          <w:rFonts w:eastAsia="Times New Roman" w:cs="Times New Roman"/>
          <w:i/>
          <w:iCs/>
          <w:sz w:val="16"/>
          <w:szCs w:val="16"/>
        </w:rPr>
        <w:t>Bank, &lt;</w:t>
      </w:r>
      <w:hyperlink r:id="rId23" w:history="1">
        <w:r w:rsidR="00AB7C5A" w:rsidRPr="00F73500">
          <w:rPr>
            <w:rFonts w:eastAsia="Times New Roman" w:cs="Times New Roman"/>
            <w:i/>
            <w:iCs/>
            <w:color w:val="0563C1" w:themeColor="hyperlink"/>
            <w:sz w:val="16"/>
            <w:szCs w:val="16"/>
            <w:u w:val="single"/>
          </w:rPr>
          <w:t>https://data.worldbank.org/indicator/NY.GDP.PCAP.CD?locations=PA</w:t>
        </w:r>
      </w:hyperlink>
      <w:r w:rsidR="00AB7C5A" w:rsidRPr="00F73500">
        <w:rPr>
          <w:rFonts w:eastAsia="Times New Roman" w:cs="Times New Roman"/>
          <w:i/>
          <w:iCs/>
          <w:sz w:val="16"/>
          <w:szCs w:val="16"/>
        </w:rPr>
        <w:t xml:space="preserve"> &gt;</w:t>
      </w:r>
    </w:p>
    <w:p w14:paraId="09901C8B" w14:textId="3D6EB87C" w:rsidR="008F09B0" w:rsidRPr="00472B84" w:rsidRDefault="008F09B0" w:rsidP="00336136">
      <w:pPr>
        <w:pStyle w:val="Ttulo2"/>
        <w:spacing w:before="0" w:line="240" w:lineRule="auto"/>
      </w:pPr>
      <w:bookmarkStart w:id="7" w:name="_Toc90453962"/>
      <w:r w:rsidRPr="00472B84">
        <w:t xml:space="preserve">The regional electricity </w:t>
      </w:r>
      <w:r w:rsidR="00E9191C" w:rsidRPr="00472B84">
        <w:t>markets</w:t>
      </w:r>
      <w:bookmarkEnd w:id="7"/>
    </w:p>
    <w:p w14:paraId="0F1CAEF4" w14:textId="27280BB5" w:rsidR="007506B1" w:rsidRDefault="00070F75" w:rsidP="00070F75">
      <w:pPr>
        <w:spacing w:line="240" w:lineRule="auto"/>
        <w:rPr>
          <w:rFonts w:eastAsia="Calibri" w:cs="Arial"/>
        </w:rPr>
      </w:pPr>
      <w:r w:rsidRPr="00AB7206">
        <w:rPr>
          <w:rFonts w:eastAsia="Calibri" w:cs="Arial"/>
        </w:rPr>
        <w:t xml:space="preserve">The MER is </w:t>
      </w:r>
      <w:r w:rsidR="007506B1" w:rsidRPr="007506B1">
        <w:rPr>
          <w:rFonts w:eastAsia="Calibri" w:cs="Arial"/>
        </w:rPr>
        <w:t>a wholesale market with its own regulation and governing institutions, in which authorized agents of Central American countries make international trades of electricity.</w:t>
      </w:r>
    </w:p>
    <w:p w14:paraId="6E0DD668" w14:textId="50AD114C" w:rsidR="00070F75" w:rsidRPr="00AB7206" w:rsidRDefault="00070F75" w:rsidP="00070F75">
      <w:pPr>
        <w:spacing w:line="240" w:lineRule="auto"/>
        <w:rPr>
          <w:rFonts w:eastAsia="Yu Gothic Light" w:cs="Times New Roman"/>
          <w:color w:val="000000"/>
        </w:rPr>
      </w:pPr>
      <w:r w:rsidRPr="00AB7206">
        <w:rPr>
          <w:rFonts w:eastAsia="Yu Gothic Light" w:cs="Times New Roman"/>
          <w:color w:val="000000"/>
        </w:rPr>
        <w:t xml:space="preserve">The MER’s regulatory architecture is laid down in a series of legal and administrative instruments that include the Framework Treaty of the Central American Electricity Market, signed in December 1996; the First and Second Protocols to the Framework Treaty, promulgated in June 1997 and April 2007 respectively; the Regulation of the Regional Electricity Market (in Spanish: RMER), and the Regulatory Resolutions of the Regional Commission for Electricity Interconnection (in Spanish: CRIE). These instruments define the principles, rules, procedures, and mechanisms for running the MER. These instruments establish an institutional structure that includes: </w:t>
      </w:r>
    </w:p>
    <w:p w14:paraId="23E74B25" w14:textId="77777777" w:rsidR="00070F75" w:rsidRPr="00AB7206" w:rsidRDefault="00070F75" w:rsidP="00070F75">
      <w:pPr>
        <w:numPr>
          <w:ilvl w:val="0"/>
          <w:numId w:val="9"/>
        </w:numPr>
        <w:spacing w:line="240" w:lineRule="auto"/>
        <w:contextualSpacing/>
        <w:rPr>
          <w:rFonts w:eastAsia="Yu Gothic Light" w:cs="Times New Roman"/>
          <w:color w:val="000000"/>
          <w:szCs w:val="20"/>
        </w:rPr>
      </w:pPr>
      <w:r w:rsidRPr="00AB7206">
        <w:rPr>
          <w:rFonts w:eastAsia="Yu Gothic Light" w:cs="Times New Roman"/>
          <w:color w:val="000000"/>
          <w:szCs w:val="20"/>
        </w:rPr>
        <w:t>The CRIE is responsible for, among other functions, regulating commercial relations between public and private institutions (agents) connected to the regional electricity system, and for establishing remuneration and pricing mechanisms for energy exchange and transmission.</w:t>
      </w:r>
    </w:p>
    <w:p w14:paraId="7B3A8B8D" w14:textId="3C56658B" w:rsidR="00070F75" w:rsidRPr="00AB7206" w:rsidRDefault="00070F75" w:rsidP="00070F75">
      <w:pPr>
        <w:numPr>
          <w:ilvl w:val="0"/>
          <w:numId w:val="9"/>
        </w:numPr>
        <w:spacing w:line="240" w:lineRule="auto"/>
        <w:contextualSpacing/>
        <w:rPr>
          <w:rFonts w:eastAsia="Yu Gothic Light" w:cs="Times New Roman"/>
          <w:color w:val="000000"/>
          <w:szCs w:val="20"/>
        </w:rPr>
      </w:pPr>
      <w:r w:rsidRPr="00AB7206">
        <w:rPr>
          <w:rFonts w:eastAsia="Yu Gothic Light" w:cs="Times New Roman"/>
          <w:color w:val="000000"/>
          <w:szCs w:val="20"/>
        </w:rPr>
        <w:t>The Regional Operating Agency (EOR) is responsible for overseeing and coordinating the technical and commercial operation of energy exchanges among agents of the Central American countries. It has the role of operator and administrator of the electricity system and the regional market.</w:t>
      </w:r>
    </w:p>
    <w:p w14:paraId="10089A82" w14:textId="257218DE" w:rsidR="00070F75" w:rsidRPr="00AB7206" w:rsidRDefault="00070F75" w:rsidP="00070F75">
      <w:pPr>
        <w:numPr>
          <w:ilvl w:val="0"/>
          <w:numId w:val="9"/>
        </w:numPr>
        <w:spacing w:line="240" w:lineRule="auto"/>
        <w:contextualSpacing/>
        <w:rPr>
          <w:rFonts w:eastAsia="Yu Gothic Light" w:cs="Times New Roman"/>
          <w:color w:val="000000"/>
          <w:szCs w:val="20"/>
        </w:rPr>
      </w:pPr>
      <w:r w:rsidRPr="00AB7206">
        <w:rPr>
          <w:rFonts w:eastAsia="Yu Gothic Light" w:cs="Times New Roman"/>
          <w:color w:val="000000"/>
          <w:szCs w:val="20"/>
        </w:rPr>
        <w:t>The Network Owner Company (EPR) is a Public-private entity responsible for building, operating, and maintaining the regional transmission framework (</w:t>
      </w:r>
      <w:r w:rsidR="008D52F8">
        <w:rPr>
          <w:rFonts w:eastAsia="Yu Gothic Light" w:cs="Times New Roman"/>
          <w:color w:val="000000"/>
          <w:szCs w:val="20"/>
        </w:rPr>
        <w:t>i</w:t>
      </w:r>
      <w:r w:rsidRPr="00AB7206">
        <w:rPr>
          <w:rFonts w:eastAsia="Yu Gothic Light" w:cs="Times New Roman"/>
          <w:color w:val="000000"/>
          <w:szCs w:val="20"/>
        </w:rPr>
        <w:t>n Spanish SIEPAC). The EPR is integrated by the electricity companies of the member and associated countries.</w:t>
      </w:r>
    </w:p>
    <w:p w14:paraId="351C317D" w14:textId="0DA1C026" w:rsidR="00070F75" w:rsidRPr="00AB7206" w:rsidRDefault="00070F75" w:rsidP="00070F75">
      <w:pPr>
        <w:numPr>
          <w:ilvl w:val="0"/>
          <w:numId w:val="9"/>
        </w:numPr>
        <w:spacing w:line="240" w:lineRule="auto"/>
        <w:contextualSpacing/>
        <w:rPr>
          <w:rFonts w:eastAsia="Yu Gothic Light" w:cs="Times New Roman"/>
          <w:color w:val="000000"/>
          <w:szCs w:val="20"/>
        </w:rPr>
      </w:pPr>
      <w:r w:rsidRPr="00AB7206">
        <w:rPr>
          <w:rFonts w:eastAsia="Yu Gothic Light" w:cs="Times New Roman"/>
          <w:color w:val="000000"/>
          <w:szCs w:val="20"/>
        </w:rPr>
        <w:t xml:space="preserve">The MER’s Steering Committee (CDMER) as a policy body is responsible for promoting the development of the MER and facilitating objectives fulfillment of the Framework Treaty of the Central American Electricity Market and its </w:t>
      </w:r>
      <w:r w:rsidR="00322612" w:rsidRPr="00AB7206">
        <w:rPr>
          <w:rFonts w:eastAsia="Yu Gothic Light" w:cs="Times New Roman"/>
          <w:color w:val="000000"/>
          <w:szCs w:val="20"/>
        </w:rPr>
        <w:t>Protocols and</w:t>
      </w:r>
      <w:r w:rsidRPr="00AB7206">
        <w:rPr>
          <w:rFonts w:eastAsia="Yu Gothic Light" w:cs="Times New Roman"/>
          <w:color w:val="000000"/>
          <w:szCs w:val="20"/>
        </w:rPr>
        <w:t xml:space="preserve"> coordinating the interrelation with the rest of the regional bodies CRIE and EOR.</w:t>
      </w:r>
    </w:p>
    <w:p w14:paraId="15A34E19" w14:textId="77777777" w:rsidR="00070F75" w:rsidRPr="00AB7206" w:rsidRDefault="00070F75" w:rsidP="00070F75">
      <w:pPr>
        <w:spacing w:line="240" w:lineRule="auto"/>
        <w:ind w:left="1080"/>
        <w:contextualSpacing/>
        <w:rPr>
          <w:rFonts w:eastAsia="Yu Gothic Light" w:cs="Times New Roman"/>
          <w:color w:val="000000"/>
          <w:szCs w:val="20"/>
        </w:rPr>
      </w:pPr>
    </w:p>
    <w:p w14:paraId="26C213ED" w14:textId="3AD0558C" w:rsidR="00070F75" w:rsidRPr="00AB7206" w:rsidRDefault="00070F75" w:rsidP="00070F75">
      <w:pPr>
        <w:spacing w:line="240" w:lineRule="auto"/>
        <w:rPr>
          <w:rFonts w:eastAsia="Yu Gothic Light" w:cs="Times New Roman"/>
          <w:color w:val="000000"/>
        </w:rPr>
      </w:pPr>
      <w:r w:rsidRPr="00AB7206">
        <w:rPr>
          <w:rFonts w:eastAsia="Yu Gothic Light" w:cs="Times New Roman"/>
          <w:color w:val="000000"/>
        </w:rPr>
        <w:t xml:space="preserve">MER </w:t>
      </w:r>
      <w:r w:rsidR="00A45CF4">
        <w:rPr>
          <w:rFonts w:eastAsia="Yu Gothic Light" w:cs="Times New Roman"/>
          <w:color w:val="000000"/>
        </w:rPr>
        <w:t>operations</w:t>
      </w:r>
      <w:r w:rsidR="00FF42C0">
        <w:rPr>
          <w:rFonts w:eastAsia="Yu Gothic Light" w:cs="Times New Roman"/>
          <w:color w:val="000000"/>
        </w:rPr>
        <w:t xml:space="preserve"> and organization </w:t>
      </w:r>
      <w:r w:rsidR="00A45CF4">
        <w:rPr>
          <w:rFonts w:eastAsia="Yu Gothic Light" w:cs="Times New Roman"/>
          <w:color w:val="000000"/>
        </w:rPr>
        <w:t xml:space="preserve">are based </w:t>
      </w:r>
      <w:r w:rsidRPr="00AB7206">
        <w:rPr>
          <w:rFonts w:eastAsia="Yu Gothic Light" w:cs="Times New Roman"/>
          <w:color w:val="000000"/>
        </w:rPr>
        <w:t>on the following premises</w:t>
      </w:r>
      <w:r w:rsidR="00F6010A">
        <w:rPr>
          <w:rStyle w:val="Refdenotaalpie"/>
          <w:rFonts w:eastAsia="Yu Gothic Light" w:cs="Times New Roman"/>
          <w:color w:val="000000"/>
        </w:rPr>
        <w:footnoteReference w:id="10"/>
      </w:r>
      <w:r w:rsidR="00F77C5B">
        <w:rPr>
          <w:rFonts w:eastAsia="Yu Gothic Light" w:cs="Times New Roman"/>
          <w:color w:val="000000"/>
        </w:rPr>
        <w:t>, although not necessarily they are fully complied in practice:</w:t>
      </w:r>
    </w:p>
    <w:p w14:paraId="7E83234A" w14:textId="6010B11D" w:rsidR="00070F75" w:rsidRPr="00AB7206" w:rsidRDefault="00A45CF4" w:rsidP="00070F75">
      <w:pPr>
        <w:numPr>
          <w:ilvl w:val="0"/>
          <w:numId w:val="12"/>
        </w:numPr>
        <w:spacing w:line="240" w:lineRule="auto"/>
        <w:contextualSpacing/>
        <w:rPr>
          <w:rFonts w:eastAsia="Yu Gothic Light" w:cs="Times New Roman"/>
          <w:color w:val="000000"/>
          <w:szCs w:val="20"/>
        </w:rPr>
      </w:pPr>
      <w:r>
        <w:rPr>
          <w:rFonts w:eastAsia="Yu Gothic Light" w:cs="Times New Roman"/>
          <w:color w:val="000000"/>
          <w:szCs w:val="20"/>
        </w:rPr>
        <w:t>C</w:t>
      </w:r>
      <w:r w:rsidR="00070F75" w:rsidRPr="00AB7206">
        <w:rPr>
          <w:rFonts w:eastAsia="Yu Gothic Light" w:cs="Times New Roman"/>
          <w:color w:val="000000"/>
          <w:szCs w:val="20"/>
        </w:rPr>
        <w:t>ommercial electricity transactions are carried out</w:t>
      </w:r>
      <w:r>
        <w:rPr>
          <w:rFonts w:eastAsia="Yu Gothic Light" w:cs="Times New Roman"/>
          <w:color w:val="000000"/>
          <w:szCs w:val="20"/>
        </w:rPr>
        <w:t xml:space="preserve"> in the Market</w:t>
      </w:r>
      <w:r w:rsidR="00070F75" w:rsidRPr="00AB7206">
        <w:rPr>
          <w:rFonts w:eastAsia="Yu Gothic Light" w:cs="Times New Roman"/>
          <w:color w:val="000000"/>
          <w:szCs w:val="20"/>
        </w:rPr>
        <w:t xml:space="preserve"> through opportunity exchanges resulting from a regional economic dispatch and through contracts between market agents.</w:t>
      </w:r>
    </w:p>
    <w:p w14:paraId="07EDD6EE" w14:textId="26F8E980" w:rsidR="00070F75" w:rsidRPr="00F77C5B" w:rsidRDefault="00070F75" w:rsidP="00070F75">
      <w:pPr>
        <w:numPr>
          <w:ilvl w:val="0"/>
          <w:numId w:val="12"/>
        </w:numPr>
        <w:spacing w:line="240" w:lineRule="auto"/>
        <w:contextualSpacing/>
        <w:rPr>
          <w:rFonts w:eastAsia="Yu Gothic Light" w:cs="Times New Roman"/>
          <w:color w:val="000000"/>
          <w:szCs w:val="20"/>
        </w:rPr>
      </w:pPr>
      <w:r w:rsidRPr="00AB7206">
        <w:rPr>
          <w:rFonts w:eastAsia="Yu Gothic Light" w:cs="Times New Roman"/>
          <w:color w:val="000000"/>
          <w:szCs w:val="20"/>
        </w:rPr>
        <w:t>Market agents, except transmitting agents, can freely buy and sell electric power without discrimination</w:t>
      </w:r>
      <w:r w:rsidR="00AA13B9">
        <w:rPr>
          <w:rFonts w:eastAsia="Yu Gothic Light" w:cs="Times New Roman"/>
          <w:color w:val="000000"/>
          <w:szCs w:val="20"/>
        </w:rPr>
        <w:t xml:space="preserve"> of </w:t>
      </w:r>
      <w:r w:rsidR="00AA13B9" w:rsidRPr="00F77C5B">
        <w:rPr>
          <w:rFonts w:eastAsia="Yu Gothic Light" w:cs="Times New Roman"/>
          <w:color w:val="000000"/>
          <w:szCs w:val="20"/>
        </w:rPr>
        <w:t>any kind</w:t>
      </w:r>
      <w:r w:rsidR="00A553D7" w:rsidRPr="00F77C5B">
        <w:rPr>
          <w:rFonts w:eastAsia="Yu Gothic Light" w:cs="Times New Roman"/>
          <w:color w:val="000000"/>
          <w:szCs w:val="20"/>
        </w:rPr>
        <w:t>. Additionally,</w:t>
      </w:r>
      <w:r w:rsidRPr="00F77C5B">
        <w:rPr>
          <w:rFonts w:eastAsia="Yu Gothic Light" w:cs="Times New Roman"/>
          <w:color w:val="000000"/>
          <w:szCs w:val="20"/>
        </w:rPr>
        <w:t xml:space="preserve"> the free transit of electric power through the electric grids in the member countries of the MER is guaranteed.</w:t>
      </w:r>
    </w:p>
    <w:p w14:paraId="4A5B247A" w14:textId="7088B48D" w:rsidR="00070F75" w:rsidRPr="00F77C5B" w:rsidRDefault="00070F75" w:rsidP="00070F75">
      <w:pPr>
        <w:numPr>
          <w:ilvl w:val="0"/>
          <w:numId w:val="12"/>
        </w:numPr>
        <w:spacing w:line="240" w:lineRule="auto"/>
        <w:contextualSpacing/>
        <w:rPr>
          <w:rFonts w:eastAsia="Yu Gothic Light" w:cs="Times New Roman"/>
          <w:color w:val="000000"/>
          <w:szCs w:val="20"/>
        </w:rPr>
      </w:pPr>
      <w:r w:rsidRPr="00F77C5B">
        <w:rPr>
          <w:rFonts w:eastAsia="Yu Gothic Light" w:cs="Times New Roman"/>
          <w:color w:val="000000"/>
          <w:szCs w:val="20"/>
        </w:rPr>
        <w:t xml:space="preserve"> Market agents may install generation plants in any of the networks of the MER member countries for</w:t>
      </w:r>
      <w:r w:rsidR="00AA13B9" w:rsidRPr="00F77C5B">
        <w:rPr>
          <w:rFonts w:eastAsia="Yu Gothic Light" w:cs="Times New Roman"/>
          <w:color w:val="000000"/>
          <w:szCs w:val="20"/>
        </w:rPr>
        <w:t xml:space="preserve"> the regional commercialization of</w:t>
      </w:r>
      <w:r w:rsidRPr="00F77C5B">
        <w:rPr>
          <w:rFonts w:eastAsia="Yu Gothic Light" w:cs="Times New Roman"/>
          <w:color w:val="000000"/>
          <w:szCs w:val="20"/>
        </w:rPr>
        <w:t xml:space="preserve"> the energy produced.</w:t>
      </w:r>
    </w:p>
    <w:p w14:paraId="2593491E" w14:textId="77777777" w:rsidR="00070F75" w:rsidRPr="00AB7206" w:rsidRDefault="00070F75" w:rsidP="00070F75">
      <w:pPr>
        <w:numPr>
          <w:ilvl w:val="0"/>
          <w:numId w:val="12"/>
        </w:numPr>
        <w:spacing w:line="240" w:lineRule="auto"/>
        <w:contextualSpacing/>
        <w:rPr>
          <w:rFonts w:eastAsia="Yu Gothic Light" w:cs="Times New Roman"/>
          <w:color w:val="000000"/>
          <w:szCs w:val="20"/>
        </w:rPr>
      </w:pPr>
      <w:r w:rsidRPr="00F77C5B">
        <w:rPr>
          <w:rFonts w:eastAsia="Yu Gothic Light" w:cs="Times New Roman"/>
          <w:color w:val="000000"/>
          <w:szCs w:val="20"/>
        </w:rPr>
        <w:t xml:space="preserve"> Market agents have free access to regional and national transmission networks. Regional transmission is the energy transport through the high voltage networks that make up the Regional Transmission Network</w:t>
      </w:r>
      <w:r w:rsidRPr="00AB7206">
        <w:rPr>
          <w:rFonts w:eastAsia="Yu Gothic Light" w:cs="Times New Roman"/>
          <w:color w:val="000000"/>
          <w:szCs w:val="20"/>
        </w:rPr>
        <w:t xml:space="preserve"> or RTR.</w:t>
      </w:r>
    </w:p>
    <w:p w14:paraId="1E68D3D9" w14:textId="77777777" w:rsidR="00070F75" w:rsidRPr="00AB7206" w:rsidRDefault="00070F75" w:rsidP="00070F75">
      <w:pPr>
        <w:numPr>
          <w:ilvl w:val="0"/>
          <w:numId w:val="12"/>
        </w:numPr>
        <w:spacing w:line="240" w:lineRule="auto"/>
        <w:rPr>
          <w:rFonts w:eastAsia="Yu Gothic Light" w:cs="Times New Roman"/>
          <w:color w:val="000000"/>
          <w:szCs w:val="20"/>
        </w:rPr>
      </w:pPr>
      <w:r w:rsidRPr="00AB7206">
        <w:rPr>
          <w:rFonts w:eastAsia="Yu Gothic Light" w:cs="Times New Roman"/>
          <w:color w:val="000000"/>
          <w:szCs w:val="20"/>
        </w:rPr>
        <w:t>The MER is a market with its own rules, independent of the national markets of the member countries, whose transactions are carried out through the RTR infrastructure and national networks. The connection points between the MER and the national markets are the RTR nodes.</w:t>
      </w:r>
    </w:p>
    <w:p w14:paraId="3693FE67" w14:textId="7F05EB17" w:rsidR="00070F75" w:rsidRPr="00AB7206" w:rsidRDefault="00A45CF4" w:rsidP="00070F75">
      <w:pPr>
        <w:spacing w:line="240" w:lineRule="auto"/>
        <w:rPr>
          <w:rFonts w:eastAsia="Yu Gothic Light" w:cs="Times New Roman"/>
          <w:color w:val="000000"/>
        </w:rPr>
      </w:pPr>
      <w:r>
        <w:rPr>
          <w:rFonts w:eastAsia="Yu Gothic Light" w:cs="Times New Roman"/>
          <w:color w:val="000000"/>
        </w:rPr>
        <w:t>T</w:t>
      </w:r>
      <w:r w:rsidR="00070F75" w:rsidRPr="00AB7206">
        <w:rPr>
          <w:rFonts w:eastAsia="Yu Gothic Light" w:cs="Times New Roman"/>
          <w:color w:val="000000"/>
        </w:rPr>
        <w:t>he</w:t>
      </w:r>
      <w:r w:rsidR="00D43601">
        <w:rPr>
          <w:rFonts w:eastAsia="Yu Gothic Light" w:cs="Times New Roman"/>
          <w:color w:val="000000"/>
        </w:rPr>
        <w:t xml:space="preserve">re are </w:t>
      </w:r>
      <w:r w:rsidR="00070F75" w:rsidRPr="00AB7206">
        <w:rPr>
          <w:rFonts w:eastAsia="Yu Gothic Light" w:cs="Times New Roman"/>
          <w:color w:val="000000"/>
        </w:rPr>
        <w:t xml:space="preserve">two </w:t>
      </w:r>
      <w:r w:rsidR="00D43601">
        <w:rPr>
          <w:rFonts w:eastAsia="Yu Gothic Light" w:cs="Times New Roman"/>
          <w:color w:val="000000"/>
        </w:rPr>
        <w:t>type</w:t>
      </w:r>
      <w:r w:rsidR="00024F9D">
        <w:rPr>
          <w:rFonts w:eastAsia="Yu Gothic Light" w:cs="Times New Roman"/>
          <w:color w:val="000000"/>
        </w:rPr>
        <w:t>s</w:t>
      </w:r>
      <w:r w:rsidR="00D43601">
        <w:rPr>
          <w:rFonts w:eastAsia="Yu Gothic Light" w:cs="Times New Roman"/>
          <w:color w:val="000000"/>
        </w:rPr>
        <w:t xml:space="preserve"> of </w:t>
      </w:r>
      <w:r w:rsidR="00F77C5B">
        <w:rPr>
          <w:rFonts w:eastAsia="Yu Gothic Light" w:cs="Times New Roman"/>
          <w:color w:val="000000"/>
        </w:rPr>
        <w:t>“submarkets” in MER</w:t>
      </w:r>
      <w:r w:rsidR="00070F75" w:rsidRPr="00AB7206">
        <w:rPr>
          <w:rFonts w:eastAsia="Yu Gothic Light" w:cs="Times New Roman"/>
          <w:color w:val="000000"/>
        </w:rPr>
        <w:t>:</w:t>
      </w:r>
    </w:p>
    <w:p w14:paraId="669395B3" w14:textId="440E5500" w:rsidR="00070F75" w:rsidRPr="003F6C2A" w:rsidRDefault="00F6010A" w:rsidP="00070F75">
      <w:pPr>
        <w:numPr>
          <w:ilvl w:val="0"/>
          <w:numId w:val="13"/>
        </w:numPr>
        <w:spacing w:line="240" w:lineRule="auto"/>
        <w:contextualSpacing/>
        <w:rPr>
          <w:rFonts w:eastAsia="Yu Gothic Light" w:cs="Times New Roman"/>
          <w:color w:val="000000"/>
          <w:szCs w:val="20"/>
        </w:rPr>
      </w:pPr>
      <w:r w:rsidRPr="003F6C2A">
        <w:rPr>
          <w:rFonts w:eastAsia="Yu Gothic Light" w:cs="Times New Roman"/>
          <w:color w:val="000000"/>
          <w:szCs w:val="20"/>
        </w:rPr>
        <w:t>The Regional Contract Market</w:t>
      </w:r>
      <w:r w:rsidR="00F77C5B" w:rsidRPr="003F6C2A">
        <w:rPr>
          <w:rFonts w:eastAsia="Yu Gothic Light" w:cs="Times New Roman"/>
          <w:color w:val="000000"/>
          <w:szCs w:val="20"/>
        </w:rPr>
        <w:t xml:space="preserve"> (</w:t>
      </w:r>
      <w:r w:rsidRPr="003F6C2A">
        <w:rPr>
          <w:rFonts w:eastAsia="Yu Gothic Light" w:cs="Times New Roman"/>
          <w:color w:val="000000"/>
          <w:szCs w:val="20"/>
        </w:rPr>
        <w:t>MCR</w:t>
      </w:r>
      <w:r w:rsidR="00F77C5B" w:rsidRPr="003F6C2A">
        <w:rPr>
          <w:rFonts w:eastAsia="Yu Gothic Light" w:cs="Times New Roman"/>
          <w:color w:val="000000"/>
          <w:szCs w:val="20"/>
        </w:rPr>
        <w:t xml:space="preserve"> in Spanish)</w:t>
      </w:r>
      <w:r w:rsidRPr="003F6C2A">
        <w:rPr>
          <w:rFonts w:eastAsia="Yu Gothic Light" w:cs="Times New Roman"/>
          <w:color w:val="000000"/>
          <w:szCs w:val="20"/>
        </w:rPr>
        <w:t xml:space="preserve">, is made up of contracts for the injection and withdrawal of electricity in the MER, </w:t>
      </w:r>
      <w:r w:rsidR="006028D1" w:rsidRPr="003F6C2A">
        <w:rPr>
          <w:rFonts w:eastAsia="Yu Gothic Light" w:cs="Times New Roman"/>
          <w:color w:val="000000"/>
          <w:szCs w:val="20"/>
        </w:rPr>
        <w:t>signed</w:t>
      </w:r>
      <w:r w:rsidRPr="003F6C2A">
        <w:rPr>
          <w:rFonts w:eastAsia="Yu Gothic Light" w:cs="Times New Roman"/>
          <w:color w:val="000000"/>
          <w:szCs w:val="20"/>
        </w:rPr>
        <w:t xml:space="preserve"> between agents, together with the rules for their administration and dispatch at the regional level. There are two main types of contracts in the MER according to their supply priority. These are (i) Firm Contracts and (ii) Non-Firm Contracts</w:t>
      </w:r>
      <w:r w:rsidR="00024F9D" w:rsidRPr="003F6C2A">
        <w:rPr>
          <w:rFonts w:eastAsia="Yu Gothic Light" w:cs="Times New Roman"/>
          <w:color w:val="000000"/>
          <w:szCs w:val="20"/>
        </w:rPr>
        <w:t xml:space="preserve"> (</w:t>
      </w:r>
      <w:r w:rsidR="00024F9D" w:rsidRPr="003F6C2A">
        <w:rPr>
          <w:rFonts w:eastAsia="Yu Gothic Light" w:cs="Times New Roman"/>
          <w:color w:val="000000"/>
          <w:szCs w:val="20"/>
        </w:rPr>
        <w:fldChar w:fldCharType="begin"/>
      </w:r>
      <w:r w:rsidR="00024F9D" w:rsidRPr="003F6C2A">
        <w:rPr>
          <w:rFonts w:eastAsia="Yu Gothic Light" w:cs="Times New Roman"/>
          <w:color w:val="000000"/>
          <w:szCs w:val="20"/>
        </w:rPr>
        <w:instrText xml:space="preserve"> REF _Ref81238241 \h </w:instrText>
      </w:r>
      <w:r w:rsidR="003F6C2A">
        <w:rPr>
          <w:rFonts w:eastAsia="Yu Gothic Light" w:cs="Times New Roman"/>
          <w:color w:val="000000"/>
          <w:szCs w:val="20"/>
        </w:rPr>
        <w:instrText xml:space="preserve"> \* MERGEFORMAT </w:instrText>
      </w:r>
      <w:r w:rsidR="00024F9D" w:rsidRPr="003F6C2A">
        <w:rPr>
          <w:rFonts w:eastAsia="Yu Gothic Light" w:cs="Times New Roman"/>
          <w:color w:val="000000"/>
          <w:szCs w:val="20"/>
        </w:rPr>
      </w:r>
      <w:r w:rsidR="00024F9D" w:rsidRPr="003F6C2A">
        <w:rPr>
          <w:rFonts w:eastAsia="Yu Gothic Light" w:cs="Times New Roman"/>
          <w:color w:val="000000"/>
          <w:szCs w:val="20"/>
        </w:rPr>
        <w:fldChar w:fldCharType="separate"/>
      </w:r>
      <w:r w:rsidR="00D054D0" w:rsidRPr="00A74D82">
        <w:rPr>
          <w:rFonts w:eastAsia="Calibri" w:cs="Arial"/>
          <w:b/>
          <w:bCs/>
          <w:sz w:val="18"/>
        </w:rPr>
        <w:t xml:space="preserve">Table </w:t>
      </w:r>
      <w:r w:rsidR="00D054D0">
        <w:rPr>
          <w:rFonts w:eastAsia="Calibri" w:cs="Arial"/>
          <w:b/>
          <w:bCs/>
          <w:noProof/>
          <w:sz w:val="18"/>
        </w:rPr>
        <w:t>3</w:t>
      </w:r>
      <w:r w:rsidR="00024F9D" w:rsidRPr="003F6C2A">
        <w:rPr>
          <w:rFonts w:eastAsia="Yu Gothic Light" w:cs="Times New Roman"/>
          <w:color w:val="000000"/>
          <w:szCs w:val="20"/>
        </w:rPr>
        <w:fldChar w:fldCharType="end"/>
      </w:r>
      <w:r w:rsidR="00024F9D" w:rsidRPr="003F6C2A">
        <w:rPr>
          <w:rFonts w:eastAsia="Yu Gothic Light" w:cs="Times New Roman"/>
          <w:color w:val="000000"/>
          <w:szCs w:val="20"/>
        </w:rPr>
        <w:t>)</w:t>
      </w:r>
      <w:r w:rsidR="00070F75" w:rsidRPr="003F6C2A">
        <w:rPr>
          <w:rFonts w:eastAsia="Yu Gothic Light" w:cs="Times New Roman"/>
          <w:color w:val="000000"/>
          <w:szCs w:val="20"/>
        </w:rPr>
        <w:t>.</w:t>
      </w:r>
      <w:r w:rsidRPr="003F6C2A">
        <w:rPr>
          <w:rFonts w:eastAsia="Yu Gothic Light" w:cs="Times New Roman"/>
          <w:color w:val="000000"/>
          <w:szCs w:val="20"/>
        </w:rPr>
        <w:t xml:space="preserve"> </w:t>
      </w:r>
      <w:r w:rsidR="003F6C2A" w:rsidRPr="003F6C2A">
        <w:rPr>
          <w:rFonts w:eastAsia="Yu Gothic Light" w:cs="Times New Roman"/>
          <w:color w:val="000000"/>
          <w:szCs w:val="20"/>
        </w:rPr>
        <w:t>Firm Contracts establish supply priority for the purchasing party.</w:t>
      </w:r>
    </w:p>
    <w:p w14:paraId="46E2DD87" w14:textId="7DFF4933" w:rsidR="00070F75" w:rsidRPr="00AB7206" w:rsidRDefault="00024F9D" w:rsidP="00070F75">
      <w:pPr>
        <w:numPr>
          <w:ilvl w:val="0"/>
          <w:numId w:val="13"/>
        </w:numPr>
        <w:spacing w:line="240" w:lineRule="auto"/>
        <w:ind w:hanging="357"/>
        <w:rPr>
          <w:rFonts w:eastAsia="Yu Gothic Light" w:cs="Times New Roman"/>
          <w:color w:val="000000"/>
          <w:szCs w:val="20"/>
        </w:rPr>
      </w:pPr>
      <w:r w:rsidRPr="00024F9D">
        <w:rPr>
          <w:rFonts w:eastAsia="Yu Gothic Light" w:cs="Times New Roman"/>
          <w:color w:val="000000"/>
          <w:szCs w:val="20"/>
        </w:rPr>
        <w:t>The Regional Opportunity Market</w:t>
      </w:r>
      <w:r>
        <w:rPr>
          <w:rFonts w:eastAsia="Yu Gothic Light" w:cs="Times New Roman"/>
          <w:color w:val="000000"/>
          <w:szCs w:val="20"/>
        </w:rPr>
        <w:t xml:space="preserve"> (</w:t>
      </w:r>
      <w:r w:rsidR="00F77C5B">
        <w:rPr>
          <w:rFonts w:eastAsia="Yu Gothic Light" w:cs="Times New Roman"/>
          <w:color w:val="000000"/>
          <w:szCs w:val="20"/>
        </w:rPr>
        <w:t>i</w:t>
      </w:r>
      <w:r>
        <w:rPr>
          <w:rFonts w:eastAsia="Yu Gothic Light" w:cs="Times New Roman"/>
          <w:color w:val="000000"/>
          <w:szCs w:val="20"/>
        </w:rPr>
        <w:t>n Spanish</w:t>
      </w:r>
      <w:r w:rsidRPr="00024F9D">
        <w:rPr>
          <w:rFonts w:eastAsia="Yu Gothic Light" w:cs="Times New Roman"/>
          <w:color w:val="000000"/>
          <w:szCs w:val="20"/>
        </w:rPr>
        <w:t xml:space="preserve"> MOR</w:t>
      </w:r>
      <w:r>
        <w:rPr>
          <w:rFonts w:eastAsia="Yu Gothic Light" w:cs="Times New Roman"/>
          <w:color w:val="000000"/>
          <w:szCs w:val="20"/>
        </w:rPr>
        <w:t>)</w:t>
      </w:r>
      <w:r w:rsidRPr="00024F9D">
        <w:rPr>
          <w:rFonts w:eastAsia="Yu Gothic Light" w:cs="Times New Roman"/>
          <w:color w:val="000000"/>
          <w:szCs w:val="20"/>
        </w:rPr>
        <w:t>, is a short-term market based on daily energy injection and withdrawal offers, for each market period, in commercially enabled nodes</w:t>
      </w:r>
      <w:r>
        <w:rPr>
          <w:rFonts w:eastAsia="Yu Gothic Light" w:cs="Times New Roman"/>
          <w:color w:val="000000"/>
          <w:szCs w:val="20"/>
        </w:rPr>
        <w:t xml:space="preserve"> of the regional transmission network In Spanish RTR)</w:t>
      </w:r>
      <w:r w:rsidRPr="00024F9D">
        <w:rPr>
          <w:rFonts w:eastAsia="Yu Gothic Light" w:cs="Times New Roman"/>
          <w:color w:val="000000"/>
          <w:szCs w:val="20"/>
        </w:rPr>
        <w:t xml:space="preserve">. Offers to the Regional Opportunity Market are informed by the </w:t>
      </w:r>
      <w:r>
        <w:rPr>
          <w:rFonts w:eastAsia="Yu Gothic Light" w:cs="Times New Roman"/>
          <w:color w:val="000000"/>
          <w:szCs w:val="20"/>
        </w:rPr>
        <w:t xml:space="preserve">System Operators / Market Operators (In Spanish </w:t>
      </w:r>
      <w:r w:rsidRPr="00024F9D">
        <w:rPr>
          <w:rFonts w:eastAsia="Yu Gothic Light" w:cs="Times New Roman"/>
          <w:color w:val="000000"/>
          <w:szCs w:val="20"/>
        </w:rPr>
        <w:t>OS / OM</w:t>
      </w:r>
      <w:r>
        <w:rPr>
          <w:rFonts w:eastAsia="Yu Gothic Light" w:cs="Times New Roman"/>
          <w:color w:val="000000"/>
          <w:szCs w:val="20"/>
        </w:rPr>
        <w:t>)</w:t>
      </w:r>
      <w:r w:rsidRPr="00024F9D">
        <w:rPr>
          <w:rFonts w:eastAsia="Yu Gothic Light" w:cs="Times New Roman"/>
          <w:color w:val="000000"/>
          <w:szCs w:val="20"/>
        </w:rPr>
        <w:t xml:space="preserve"> of each member country based on the offers of their agents. The transactions in the MOR are the product of a regional pre-dispatch and of the operation in real</w:t>
      </w:r>
      <w:r>
        <w:rPr>
          <w:rFonts w:eastAsia="Yu Gothic Light" w:cs="Times New Roman"/>
          <w:color w:val="000000"/>
          <w:szCs w:val="20"/>
        </w:rPr>
        <w:t>-</w:t>
      </w:r>
      <w:r w:rsidRPr="00024F9D">
        <w:rPr>
          <w:rFonts w:eastAsia="Yu Gothic Light" w:cs="Times New Roman"/>
          <w:color w:val="000000"/>
          <w:szCs w:val="20"/>
        </w:rPr>
        <w:t>time and make possible the optimization of the regional dispatch</w:t>
      </w:r>
      <w:r w:rsidR="00070F75" w:rsidRPr="00AB7206">
        <w:rPr>
          <w:rFonts w:eastAsia="Yu Gothic Light" w:cs="Times New Roman"/>
          <w:color w:val="000000"/>
          <w:szCs w:val="20"/>
        </w:rPr>
        <w:t>.</w:t>
      </w:r>
    </w:p>
    <w:p w14:paraId="66038953" w14:textId="797EE83B" w:rsidR="00070F75" w:rsidRPr="00A74D82" w:rsidRDefault="00070F75" w:rsidP="00070F75">
      <w:pPr>
        <w:keepNext/>
        <w:tabs>
          <w:tab w:val="left" w:pos="7200"/>
        </w:tabs>
        <w:spacing w:line="240" w:lineRule="auto"/>
        <w:jc w:val="center"/>
        <w:rPr>
          <w:rFonts w:eastAsia="Calibri" w:cs="Arial"/>
          <w:sz w:val="18"/>
        </w:rPr>
      </w:pPr>
      <w:bookmarkStart w:id="8" w:name="_Ref81238241"/>
      <w:r w:rsidRPr="00A74D82">
        <w:rPr>
          <w:rFonts w:eastAsia="Calibri" w:cs="Arial"/>
          <w:b/>
          <w:bCs/>
          <w:sz w:val="18"/>
        </w:rPr>
        <w:t xml:space="preserve">Table </w:t>
      </w:r>
      <w:r w:rsidRPr="00A74D82">
        <w:rPr>
          <w:rFonts w:eastAsia="Calibri" w:cs="Arial"/>
          <w:b/>
          <w:bCs/>
          <w:sz w:val="18"/>
        </w:rPr>
        <w:fldChar w:fldCharType="begin"/>
      </w:r>
      <w:r w:rsidRPr="00A74D82">
        <w:rPr>
          <w:rFonts w:eastAsia="Calibri" w:cs="Arial"/>
          <w:b/>
          <w:bCs/>
          <w:sz w:val="18"/>
        </w:rPr>
        <w:instrText xml:space="preserve"> SEQ Table \* ARABIC </w:instrText>
      </w:r>
      <w:r w:rsidRPr="00A74D82">
        <w:rPr>
          <w:rFonts w:eastAsia="Calibri" w:cs="Arial"/>
          <w:b/>
          <w:bCs/>
          <w:sz w:val="18"/>
        </w:rPr>
        <w:fldChar w:fldCharType="separate"/>
      </w:r>
      <w:r w:rsidR="00D054D0">
        <w:rPr>
          <w:rFonts w:eastAsia="Calibri" w:cs="Arial"/>
          <w:b/>
          <w:bCs/>
          <w:noProof/>
          <w:sz w:val="18"/>
        </w:rPr>
        <w:t>3</w:t>
      </w:r>
      <w:r w:rsidRPr="00A74D82">
        <w:rPr>
          <w:rFonts w:eastAsia="Calibri" w:cs="Arial"/>
          <w:b/>
          <w:bCs/>
          <w:sz w:val="18"/>
        </w:rPr>
        <w:fldChar w:fldCharType="end"/>
      </w:r>
      <w:bookmarkEnd w:id="8"/>
      <w:r w:rsidRPr="00A74D82">
        <w:rPr>
          <w:rFonts w:eastAsia="Calibri" w:cs="Arial"/>
          <w:b/>
          <w:bCs/>
          <w:sz w:val="18"/>
        </w:rPr>
        <w:t>.</w:t>
      </w:r>
      <w:r w:rsidRPr="00A74D82">
        <w:rPr>
          <w:rFonts w:eastAsia="Calibri" w:cs="Arial"/>
          <w:sz w:val="18"/>
        </w:rPr>
        <w:t xml:space="preserve"> Key aspects of </w:t>
      </w:r>
      <w:r w:rsidR="0020321C" w:rsidRPr="00A74D82">
        <w:rPr>
          <w:rFonts w:eastAsia="Calibri" w:cs="Arial"/>
          <w:sz w:val="18"/>
        </w:rPr>
        <w:t xml:space="preserve">MER </w:t>
      </w:r>
      <w:r w:rsidRPr="00A74D82">
        <w:rPr>
          <w:rFonts w:eastAsia="Calibri" w:cs="Arial"/>
          <w:sz w:val="18"/>
        </w:rPr>
        <w:t>contracts and markets</w:t>
      </w:r>
    </w:p>
    <w:p w14:paraId="30B82B51" w14:textId="72766672" w:rsidR="00070F75" w:rsidRPr="00A74D82" w:rsidRDefault="00D248E1" w:rsidP="00070F75">
      <w:pPr>
        <w:spacing w:line="240" w:lineRule="auto"/>
        <w:jc w:val="center"/>
        <w:rPr>
          <w:rFonts w:eastAsia="Yu Gothic Light" w:cs="Times New Roman"/>
          <w:color w:val="000000"/>
          <w:szCs w:val="20"/>
        </w:rPr>
      </w:pPr>
      <w:r w:rsidRPr="00A74D82">
        <w:rPr>
          <w:rFonts w:eastAsia="Yu Gothic Light" w:cs="Times New Roman"/>
          <w:noProof/>
          <w:color w:val="000000"/>
          <w:szCs w:val="20"/>
        </w:rPr>
        <w:drawing>
          <wp:inline distT="0" distB="0" distL="0" distR="0" wp14:anchorId="793AE536" wp14:editId="69A396E3">
            <wp:extent cx="5400000" cy="1708483"/>
            <wp:effectExtent l="0" t="0" r="0" b="635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0000" cy="1708483"/>
                    </a:xfrm>
                    <a:prstGeom prst="rect">
                      <a:avLst/>
                    </a:prstGeom>
                    <a:noFill/>
                  </pic:spPr>
                </pic:pic>
              </a:graphicData>
            </a:graphic>
          </wp:inline>
        </w:drawing>
      </w:r>
    </w:p>
    <w:p w14:paraId="24628710" w14:textId="565AE190" w:rsidR="00070F75" w:rsidRPr="00AB7206" w:rsidRDefault="00070F75" w:rsidP="00070F75">
      <w:pPr>
        <w:spacing w:line="240" w:lineRule="auto"/>
        <w:ind w:left="1440"/>
        <w:rPr>
          <w:rFonts w:eastAsia="Yu Gothic Light" w:cs="Times New Roman"/>
          <w:i/>
          <w:iCs/>
          <w:color w:val="000000"/>
          <w:sz w:val="16"/>
          <w:szCs w:val="16"/>
        </w:rPr>
      </w:pPr>
      <w:r w:rsidRPr="00A74D82">
        <w:rPr>
          <w:rFonts w:eastAsia="Yu Gothic Light" w:cs="Times New Roman"/>
          <w:i/>
          <w:iCs/>
          <w:color w:val="000000"/>
          <w:sz w:val="16"/>
          <w:szCs w:val="16"/>
        </w:rPr>
        <w:t xml:space="preserve">Source: </w:t>
      </w:r>
      <w:r w:rsidR="006028D1" w:rsidRPr="00A74D82">
        <w:rPr>
          <w:rFonts w:eastAsia="Yu Gothic Light" w:cs="Times New Roman"/>
          <w:i/>
          <w:iCs/>
          <w:color w:val="000000"/>
          <w:sz w:val="16"/>
          <w:szCs w:val="16"/>
        </w:rPr>
        <w:t>Regulation of the Regional Electricity Market</w:t>
      </w:r>
      <w:r w:rsidRPr="00A74D82">
        <w:rPr>
          <w:rFonts w:eastAsia="Yu Gothic Light" w:cs="Times New Roman"/>
          <w:i/>
          <w:iCs/>
          <w:color w:val="000000"/>
          <w:sz w:val="16"/>
          <w:szCs w:val="16"/>
        </w:rPr>
        <w:t>, January 2021</w:t>
      </w:r>
    </w:p>
    <w:p w14:paraId="2E6D7F53" w14:textId="7C0EBE2D" w:rsidR="00070F75" w:rsidRPr="00AB7206" w:rsidRDefault="00070F75" w:rsidP="00070F75">
      <w:pPr>
        <w:spacing w:line="240" w:lineRule="auto"/>
        <w:rPr>
          <w:rFonts w:eastAsia="Yu Gothic Light" w:cs="Times New Roman"/>
          <w:color w:val="000000"/>
        </w:rPr>
      </w:pPr>
      <w:r w:rsidRPr="00A74D82">
        <w:rPr>
          <w:rFonts w:eastAsia="Yu Gothic Light" w:cs="Times New Roman"/>
          <w:color w:val="000000"/>
        </w:rPr>
        <w:t xml:space="preserve">The transmission network </w:t>
      </w:r>
      <w:r w:rsidR="007C12D3" w:rsidRPr="00A74D82">
        <w:rPr>
          <w:rFonts w:eastAsia="Yu Gothic Light" w:cs="Times New Roman"/>
          <w:color w:val="000000"/>
        </w:rPr>
        <w:t>(SIEPA</w:t>
      </w:r>
      <w:r w:rsidR="004D7A15" w:rsidRPr="00A74D82">
        <w:rPr>
          <w:rFonts w:eastAsia="Yu Gothic Light" w:cs="Times New Roman"/>
          <w:color w:val="000000"/>
        </w:rPr>
        <w:t>C</w:t>
      </w:r>
      <w:r w:rsidR="007C12D3" w:rsidRPr="00A74D82">
        <w:rPr>
          <w:rFonts w:eastAsia="Yu Gothic Light" w:cs="Times New Roman"/>
          <w:color w:val="000000"/>
        </w:rPr>
        <w:t xml:space="preserve">) </w:t>
      </w:r>
      <w:r w:rsidRPr="00A74D82">
        <w:rPr>
          <w:rFonts w:eastAsia="Yu Gothic Light" w:cs="Times New Roman"/>
          <w:color w:val="000000"/>
        </w:rPr>
        <w:t xml:space="preserve">is responsibility of the </w:t>
      </w:r>
      <w:r w:rsidR="00B33140" w:rsidRPr="00A74D82">
        <w:rPr>
          <w:rFonts w:eastAsia="Yu Gothic Light" w:cs="Times New Roman"/>
          <w:color w:val="000000"/>
        </w:rPr>
        <w:t xml:space="preserve">Grid Owner Company (In Spanish </w:t>
      </w:r>
      <w:r w:rsidRPr="00A74D82">
        <w:rPr>
          <w:rFonts w:eastAsia="Yu Gothic Light" w:cs="Times New Roman"/>
          <w:color w:val="000000"/>
        </w:rPr>
        <w:t>EPR</w:t>
      </w:r>
      <w:r w:rsidR="00B33140" w:rsidRPr="00A74D82">
        <w:rPr>
          <w:rFonts w:eastAsia="Yu Gothic Light" w:cs="Times New Roman"/>
          <w:color w:val="000000"/>
        </w:rPr>
        <w:t>)</w:t>
      </w:r>
      <w:r w:rsidRPr="00A74D82">
        <w:rPr>
          <w:rFonts w:eastAsia="Yu Gothic Light" w:cs="Times New Roman"/>
          <w:color w:val="000000"/>
        </w:rPr>
        <w:t>,</w:t>
      </w:r>
      <w:r w:rsidRPr="00AB7206">
        <w:rPr>
          <w:rFonts w:eastAsia="Yu Gothic Light" w:cs="Times New Roman"/>
          <w:color w:val="000000"/>
        </w:rPr>
        <w:t xml:space="preserve"> consis</w:t>
      </w:r>
      <w:r w:rsidR="007C12D3">
        <w:rPr>
          <w:rFonts w:eastAsia="Yu Gothic Light" w:cs="Times New Roman"/>
          <w:color w:val="000000"/>
        </w:rPr>
        <w:t xml:space="preserve">ting </w:t>
      </w:r>
      <w:r w:rsidRPr="00AB7206">
        <w:rPr>
          <w:rFonts w:eastAsia="Yu Gothic Light" w:cs="Times New Roman"/>
          <w:color w:val="000000"/>
        </w:rPr>
        <w:t>primarily of approximately 1,</w:t>
      </w:r>
      <w:r w:rsidR="00BA7B8E">
        <w:rPr>
          <w:rFonts w:eastAsia="Yu Gothic Light" w:cs="Times New Roman"/>
          <w:color w:val="000000"/>
        </w:rPr>
        <w:t>830</w:t>
      </w:r>
      <w:r w:rsidRPr="00AB7206">
        <w:rPr>
          <w:rFonts w:eastAsia="Yu Gothic Light" w:cs="Times New Roman"/>
          <w:color w:val="000000"/>
        </w:rPr>
        <w:t xml:space="preserve"> kilometers of 230 kV transmission lines with the provision</w:t>
      </w:r>
      <w:r w:rsidR="007C12D3">
        <w:rPr>
          <w:rFonts w:eastAsia="Yu Gothic Light" w:cs="Times New Roman"/>
          <w:color w:val="000000"/>
        </w:rPr>
        <w:t xml:space="preserve"> (</w:t>
      </w:r>
      <w:r w:rsidRPr="00AB7206">
        <w:rPr>
          <w:rFonts w:eastAsia="Yu Gothic Light" w:cs="Times New Roman"/>
          <w:color w:val="000000"/>
        </w:rPr>
        <w:t>in towers</w:t>
      </w:r>
      <w:r w:rsidR="007C12D3">
        <w:rPr>
          <w:rFonts w:eastAsia="Yu Gothic Light" w:cs="Times New Roman"/>
          <w:color w:val="000000"/>
        </w:rPr>
        <w:t>)</w:t>
      </w:r>
      <w:r w:rsidRPr="00AB7206">
        <w:rPr>
          <w:rFonts w:eastAsia="Yu Gothic Light" w:cs="Times New Roman"/>
          <w:color w:val="000000"/>
        </w:rPr>
        <w:t xml:space="preserve"> for a second future </w:t>
      </w:r>
      <w:r w:rsidR="007C12D3">
        <w:rPr>
          <w:rFonts w:eastAsia="Yu Gothic Light" w:cs="Times New Roman"/>
          <w:color w:val="000000"/>
        </w:rPr>
        <w:t xml:space="preserve">similar </w:t>
      </w:r>
      <w:r w:rsidRPr="00AB7206">
        <w:rPr>
          <w:rFonts w:eastAsia="Yu Gothic Light" w:cs="Times New Roman"/>
          <w:color w:val="000000"/>
        </w:rPr>
        <w:t xml:space="preserve">circuit, which are connected to 15 substations of the countries in the region, through 28 access bays. </w:t>
      </w:r>
      <w:r w:rsidR="007C12D3">
        <w:rPr>
          <w:rFonts w:eastAsia="Yu Gothic Light" w:cs="Times New Roman"/>
          <w:color w:val="000000"/>
        </w:rPr>
        <w:t>If</w:t>
      </w:r>
      <w:r w:rsidRPr="00AB7206">
        <w:rPr>
          <w:rFonts w:eastAsia="Yu Gothic Light" w:cs="Times New Roman"/>
          <w:color w:val="000000"/>
        </w:rPr>
        <w:t xml:space="preserve"> the national transmission systems</w:t>
      </w:r>
      <w:r w:rsidR="007C12D3">
        <w:rPr>
          <w:rFonts w:eastAsia="Yu Gothic Light" w:cs="Times New Roman"/>
          <w:color w:val="000000"/>
        </w:rPr>
        <w:t xml:space="preserve"> are equipped for it, </w:t>
      </w:r>
      <w:r w:rsidRPr="00AB7206">
        <w:rPr>
          <w:rFonts w:eastAsia="Yu Gothic Light" w:cs="Times New Roman"/>
          <w:color w:val="000000"/>
        </w:rPr>
        <w:t>the initial infrastructure allow</w:t>
      </w:r>
      <w:r w:rsidR="00A96C53">
        <w:rPr>
          <w:rFonts w:eastAsia="Yu Gothic Light" w:cs="Times New Roman"/>
          <w:color w:val="000000"/>
        </w:rPr>
        <w:t>s for</w:t>
      </w:r>
      <w:r w:rsidRPr="00AB7206">
        <w:rPr>
          <w:rFonts w:eastAsia="Yu Gothic Light" w:cs="Times New Roman"/>
          <w:color w:val="000000"/>
        </w:rPr>
        <w:t xml:space="preserve"> a reliable and safe energy transport capacity of 300 MW among the region's countries, which may be doubled when the second circuit is enabled.</w:t>
      </w:r>
    </w:p>
    <w:p w14:paraId="39BA5444" w14:textId="1B3E32FA" w:rsidR="00070F75" w:rsidRPr="00AB7206" w:rsidRDefault="00070F75" w:rsidP="00070F75">
      <w:pPr>
        <w:keepNext/>
        <w:tabs>
          <w:tab w:val="left" w:pos="7200"/>
        </w:tabs>
        <w:spacing w:line="240" w:lineRule="auto"/>
        <w:jc w:val="center"/>
        <w:rPr>
          <w:rFonts w:eastAsia="Calibri" w:cs="Arial"/>
          <w:sz w:val="18"/>
        </w:rPr>
      </w:pPr>
      <w:r w:rsidRPr="00AB7206">
        <w:rPr>
          <w:rFonts w:eastAsia="Calibri" w:cs="Arial"/>
          <w:b/>
          <w:bCs/>
          <w:sz w:val="18"/>
        </w:rPr>
        <w:t xml:space="preserve">Figure </w:t>
      </w:r>
      <w:r w:rsidRPr="00AB7206">
        <w:rPr>
          <w:rFonts w:eastAsia="Calibri" w:cs="Arial"/>
          <w:b/>
          <w:bCs/>
          <w:sz w:val="18"/>
        </w:rPr>
        <w:fldChar w:fldCharType="begin"/>
      </w:r>
      <w:r w:rsidRPr="00AB7206">
        <w:rPr>
          <w:rFonts w:eastAsia="Calibri" w:cs="Arial"/>
          <w:b/>
          <w:bCs/>
          <w:sz w:val="18"/>
        </w:rPr>
        <w:instrText xml:space="preserve"> SEQ Figure \* ARABIC </w:instrText>
      </w:r>
      <w:r w:rsidRPr="00AB7206">
        <w:rPr>
          <w:rFonts w:eastAsia="Calibri" w:cs="Arial"/>
          <w:b/>
          <w:bCs/>
          <w:sz w:val="18"/>
        </w:rPr>
        <w:fldChar w:fldCharType="separate"/>
      </w:r>
      <w:r w:rsidR="00D054D0">
        <w:rPr>
          <w:rFonts w:eastAsia="Calibri" w:cs="Arial"/>
          <w:b/>
          <w:bCs/>
          <w:noProof/>
          <w:sz w:val="18"/>
        </w:rPr>
        <w:t>1</w:t>
      </w:r>
      <w:r w:rsidRPr="00AB7206">
        <w:rPr>
          <w:rFonts w:eastAsia="Calibri" w:cs="Arial"/>
          <w:b/>
          <w:bCs/>
          <w:sz w:val="18"/>
        </w:rPr>
        <w:fldChar w:fldCharType="end"/>
      </w:r>
      <w:r w:rsidRPr="00AB7206">
        <w:rPr>
          <w:rFonts w:eastAsia="Calibri" w:cs="Arial"/>
          <w:b/>
          <w:bCs/>
          <w:sz w:val="18"/>
        </w:rPr>
        <w:t>.</w:t>
      </w:r>
      <w:r w:rsidRPr="00AB7206">
        <w:rPr>
          <w:rFonts w:eastAsia="Calibri" w:cs="Arial"/>
          <w:sz w:val="18"/>
        </w:rPr>
        <w:t xml:space="preserve"> Distribution of transmission network per country</w:t>
      </w:r>
    </w:p>
    <w:p w14:paraId="3C3F88A0" w14:textId="77777777" w:rsidR="00070F75" w:rsidRPr="00AB7206" w:rsidRDefault="00070F75" w:rsidP="00070F75">
      <w:pPr>
        <w:spacing w:line="240" w:lineRule="auto"/>
        <w:jc w:val="center"/>
        <w:rPr>
          <w:rFonts w:eastAsia="Yu Gothic Light" w:cs="Times New Roman"/>
          <w:color w:val="000000"/>
        </w:rPr>
      </w:pPr>
      <w:r w:rsidRPr="00AB7206">
        <w:rPr>
          <w:rFonts w:eastAsia="Yu Gothic Light" w:cs="Times New Roman"/>
          <w:noProof/>
          <w:color w:val="000000"/>
        </w:rPr>
        <w:drawing>
          <wp:inline distT="0" distB="0" distL="0" distR="0" wp14:anchorId="5254DE16" wp14:editId="1CD8E54F">
            <wp:extent cx="4311015" cy="2470150"/>
            <wp:effectExtent l="0" t="0" r="0" b="6350"/>
            <wp:docPr id="7" name="Imagen 7"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Mapa&#10;&#10;Descripción generada automáticament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11015" cy="2470150"/>
                    </a:xfrm>
                    <a:prstGeom prst="rect">
                      <a:avLst/>
                    </a:prstGeom>
                    <a:noFill/>
                    <a:ln>
                      <a:noFill/>
                    </a:ln>
                  </pic:spPr>
                </pic:pic>
              </a:graphicData>
            </a:graphic>
          </wp:inline>
        </w:drawing>
      </w:r>
    </w:p>
    <w:p w14:paraId="6C692662" w14:textId="77777777" w:rsidR="00070F75" w:rsidRPr="00AB7206" w:rsidRDefault="00070F75" w:rsidP="00070F75">
      <w:pPr>
        <w:spacing w:line="240" w:lineRule="auto"/>
        <w:jc w:val="center"/>
        <w:rPr>
          <w:rFonts w:eastAsia="Yu Gothic Light" w:cs="Times New Roman"/>
          <w:i/>
          <w:iCs/>
          <w:color w:val="000000"/>
          <w:sz w:val="16"/>
          <w:szCs w:val="16"/>
        </w:rPr>
      </w:pPr>
      <w:r w:rsidRPr="00AB7206">
        <w:rPr>
          <w:rFonts w:eastAsia="Yu Gothic Light" w:cs="Times New Roman"/>
          <w:i/>
          <w:iCs/>
          <w:color w:val="000000"/>
          <w:sz w:val="16"/>
          <w:szCs w:val="16"/>
        </w:rPr>
        <w:t>Source: Network Owner Company https://www.eprsiepac.com/contenido/aperturas/</w:t>
      </w:r>
    </w:p>
    <w:p w14:paraId="29D5C762" w14:textId="77777777" w:rsidR="00B317D5" w:rsidRDefault="00B317D5" w:rsidP="00070F75">
      <w:pPr>
        <w:spacing w:line="240" w:lineRule="auto"/>
        <w:ind w:left="60"/>
        <w:rPr>
          <w:rFonts w:eastAsia="Yu Gothic Light" w:cs="Times New Roman"/>
          <w:color w:val="000000"/>
        </w:rPr>
      </w:pPr>
    </w:p>
    <w:p w14:paraId="0F41381A" w14:textId="6CA8FBEE" w:rsidR="00070F75" w:rsidRPr="00AB7206" w:rsidRDefault="00070F75" w:rsidP="00070F75">
      <w:pPr>
        <w:spacing w:line="240" w:lineRule="auto"/>
        <w:ind w:left="60"/>
        <w:rPr>
          <w:rFonts w:eastAsia="Yu Gothic Light" w:cs="Times New Roman"/>
          <w:color w:val="000000"/>
          <w:szCs w:val="20"/>
        </w:rPr>
      </w:pPr>
      <w:r w:rsidRPr="00AB7206">
        <w:rPr>
          <w:rFonts w:eastAsia="Yu Gothic Light" w:cs="Times New Roman"/>
          <w:color w:val="000000"/>
        </w:rPr>
        <w:t xml:space="preserve">The MER stakeholders </w:t>
      </w:r>
      <w:r w:rsidR="007C12D3">
        <w:rPr>
          <w:rFonts w:eastAsia="Yu Gothic Light" w:cs="Times New Roman"/>
          <w:color w:val="000000"/>
        </w:rPr>
        <w:t>include</w:t>
      </w:r>
      <w:r w:rsidRPr="00AB7206">
        <w:rPr>
          <w:rFonts w:eastAsia="Yu Gothic Light" w:cs="Times New Roman"/>
          <w:color w:val="000000"/>
        </w:rPr>
        <w:t xml:space="preserve"> Gen</w:t>
      </w:r>
      <w:r w:rsidRPr="00AB7206">
        <w:rPr>
          <w:rFonts w:eastAsia="Yu Gothic Light" w:cs="Times New Roman"/>
          <w:color w:val="000000"/>
          <w:szCs w:val="20"/>
        </w:rPr>
        <w:t xml:space="preserve">erators, Distributors, Large Consumers, and Traders. </w:t>
      </w:r>
    </w:p>
    <w:p w14:paraId="5411F57E" w14:textId="1C7469AD" w:rsidR="00070F75" w:rsidRPr="00AB7206" w:rsidRDefault="00070F75" w:rsidP="00070F75">
      <w:pPr>
        <w:keepNext/>
        <w:tabs>
          <w:tab w:val="left" w:pos="7200"/>
        </w:tabs>
        <w:spacing w:line="240" w:lineRule="auto"/>
        <w:jc w:val="center"/>
        <w:rPr>
          <w:rFonts w:eastAsia="Calibri" w:cs="Arial"/>
          <w:sz w:val="18"/>
        </w:rPr>
      </w:pPr>
      <w:r w:rsidRPr="00AB7206">
        <w:rPr>
          <w:rFonts w:eastAsia="Calibri" w:cs="Arial"/>
          <w:b/>
          <w:bCs/>
          <w:sz w:val="18"/>
        </w:rPr>
        <w:t xml:space="preserve">Figure </w:t>
      </w:r>
      <w:r w:rsidRPr="00AB7206">
        <w:rPr>
          <w:rFonts w:eastAsia="Calibri" w:cs="Arial"/>
          <w:b/>
          <w:bCs/>
          <w:sz w:val="18"/>
        </w:rPr>
        <w:fldChar w:fldCharType="begin"/>
      </w:r>
      <w:r w:rsidRPr="00AB7206">
        <w:rPr>
          <w:rFonts w:eastAsia="Calibri" w:cs="Arial"/>
          <w:b/>
          <w:bCs/>
          <w:sz w:val="18"/>
        </w:rPr>
        <w:instrText xml:space="preserve"> SEQ Figure \* ARABIC </w:instrText>
      </w:r>
      <w:r w:rsidRPr="00AB7206">
        <w:rPr>
          <w:rFonts w:eastAsia="Calibri" w:cs="Arial"/>
          <w:b/>
          <w:bCs/>
          <w:sz w:val="18"/>
        </w:rPr>
        <w:fldChar w:fldCharType="separate"/>
      </w:r>
      <w:r w:rsidR="00D054D0">
        <w:rPr>
          <w:rFonts w:eastAsia="Calibri" w:cs="Arial"/>
          <w:b/>
          <w:bCs/>
          <w:noProof/>
          <w:sz w:val="18"/>
        </w:rPr>
        <w:t>2</w:t>
      </w:r>
      <w:r w:rsidRPr="00AB7206">
        <w:rPr>
          <w:rFonts w:eastAsia="Calibri" w:cs="Arial"/>
          <w:b/>
          <w:bCs/>
          <w:sz w:val="18"/>
        </w:rPr>
        <w:fldChar w:fldCharType="end"/>
      </w:r>
      <w:r w:rsidRPr="00AB7206">
        <w:rPr>
          <w:rFonts w:eastAsia="Calibri" w:cs="Arial"/>
          <w:b/>
          <w:bCs/>
          <w:sz w:val="18"/>
        </w:rPr>
        <w:t>.</w:t>
      </w:r>
      <w:r w:rsidRPr="00AB7206">
        <w:rPr>
          <w:rFonts w:eastAsia="Calibri" w:cs="Arial"/>
          <w:sz w:val="18"/>
        </w:rPr>
        <w:t xml:space="preserve"> Stakeholders of the MER</w:t>
      </w:r>
    </w:p>
    <w:p w14:paraId="5003B784" w14:textId="77777777" w:rsidR="00070F75" w:rsidRPr="00AB7206" w:rsidRDefault="00070F75" w:rsidP="00070F75">
      <w:pPr>
        <w:spacing w:line="240" w:lineRule="auto"/>
        <w:ind w:left="60"/>
        <w:jc w:val="center"/>
        <w:rPr>
          <w:rFonts w:eastAsia="Yu Gothic Light" w:cs="Times New Roman"/>
          <w:color w:val="000000"/>
          <w:szCs w:val="20"/>
        </w:rPr>
      </w:pPr>
      <w:r w:rsidRPr="00AB7206">
        <w:rPr>
          <w:rFonts w:eastAsia="Yu Gothic Light" w:cs="Times New Roman"/>
          <w:noProof/>
          <w:color w:val="000000"/>
          <w:szCs w:val="20"/>
        </w:rPr>
        <w:drawing>
          <wp:inline distT="0" distB="0" distL="0" distR="0" wp14:anchorId="47E1D014" wp14:editId="3CF87AF0">
            <wp:extent cx="5034915" cy="2897505"/>
            <wp:effectExtent l="0" t="0" r="0" b="0"/>
            <wp:docPr id="14" name="Imagen 14"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nterfaz de usuario gráfica, Aplicación&#10;&#10;Descripción generada automáticament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34915" cy="2897505"/>
                    </a:xfrm>
                    <a:prstGeom prst="rect">
                      <a:avLst/>
                    </a:prstGeom>
                    <a:noFill/>
                    <a:ln>
                      <a:noFill/>
                    </a:ln>
                  </pic:spPr>
                </pic:pic>
              </a:graphicData>
            </a:graphic>
          </wp:inline>
        </w:drawing>
      </w:r>
    </w:p>
    <w:p w14:paraId="39A42D80" w14:textId="2313530B" w:rsidR="00070F75" w:rsidRPr="00AB7206" w:rsidRDefault="00070F75" w:rsidP="00070F75">
      <w:pPr>
        <w:spacing w:line="240" w:lineRule="auto"/>
        <w:ind w:left="720"/>
        <w:rPr>
          <w:rFonts w:eastAsia="Yu Gothic Light" w:cs="Times New Roman"/>
          <w:i/>
          <w:iCs/>
          <w:color w:val="000000"/>
          <w:sz w:val="16"/>
          <w:szCs w:val="16"/>
        </w:rPr>
      </w:pPr>
      <w:r w:rsidRPr="00AB7206">
        <w:rPr>
          <w:rFonts w:eastAsia="Yu Gothic Light" w:cs="Times New Roman"/>
          <w:i/>
          <w:iCs/>
          <w:color w:val="000000"/>
          <w:sz w:val="16"/>
          <w:szCs w:val="16"/>
        </w:rPr>
        <w:t>Source: Own elaboration with information from the MER</w:t>
      </w:r>
      <w:r w:rsidR="00D74E5A">
        <w:rPr>
          <w:rFonts w:eastAsia="Yu Gothic Light" w:cs="Times New Roman"/>
          <w:i/>
          <w:iCs/>
          <w:color w:val="000000"/>
          <w:sz w:val="16"/>
          <w:szCs w:val="16"/>
        </w:rPr>
        <w:t>.</w:t>
      </w:r>
    </w:p>
    <w:p w14:paraId="6A726C93" w14:textId="16AB6253" w:rsidR="00070F75" w:rsidRPr="006658F5" w:rsidRDefault="00070F75" w:rsidP="00070F75">
      <w:pPr>
        <w:spacing w:line="240" w:lineRule="auto"/>
        <w:ind w:left="60"/>
        <w:rPr>
          <w:rFonts w:eastAsia="Yu Gothic Light" w:cs="Times New Roman"/>
          <w:color w:val="000000"/>
          <w:szCs w:val="20"/>
        </w:rPr>
      </w:pPr>
      <w:r w:rsidRPr="00B317D5">
        <w:rPr>
          <w:rFonts w:eastAsia="Yu Gothic Light" w:cs="Times New Roman"/>
          <w:color w:val="000000"/>
          <w:szCs w:val="20"/>
        </w:rPr>
        <w:t xml:space="preserve">By 2020, the </w:t>
      </w:r>
      <w:r w:rsidR="00B33140" w:rsidRPr="00B317D5">
        <w:rPr>
          <w:rFonts w:eastAsia="Yu Gothic Light" w:cs="Times New Roman"/>
          <w:color w:val="000000"/>
          <w:szCs w:val="20"/>
        </w:rPr>
        <w:t xml:space="preserve">Regional Operator Entity (In Spanish </w:t>
      </w:r>
      <w:r w:rsidRPr="00B317D5">
        <w:rPr>
          <w:rFonts w:eastAsia="Yu Gothic Light" w:cs="Times New Roman"/>
          <w:color w:val="000000"/>
          <w:szCs w:val="20"/>
        </w:rPr>
        <w:t>EOR</w:t>
      </w:r>
      <w:r w:rsidR="00B33140" w:rsidRPr="00B317D5">
        <w:rPr>
          <w:rFonts w:eastAsia="Yu Gothic Light" w:cs="Times New Roman"/>
          <w:color w:val="000000"/>
          <w:szCs w:val="20"/>
        </w:rPr>
        <w:t>)</w:t>
      </w:r>
      <w:r w:rsidRPr="00B317D5">
        <w:rPr>
          <w:rFonts w:eastAsia="Yu Gothic Light" w:cs="Times New Roman"/>
          <w:color w:val="000000"/>
          <w:szCs w:val="20"/>
        </w:rPr>
        <w:t xml:space="preserve"> has 283 agents registered with authorization to trade on the MER. </w:t>
      </w:r>
      <w:r w:rsidR="00502C3A">
        <w:rPr>
          <w:rFonts w:eastAsia="Yu Gothic Light" w:cs="Times New Roman"/>
          <w:color w:val="000000"/>
          <w:szCs w:val="20"/>
        </w:rPr>
        <w:fldChar w:fldCharType="begin"/>
      </w:r>
      <w:r w:rsidR="00502C3A">
        <w:rPr>
          <w:rFonts w:eastAsia="Yu Gothic Light" w:cs="Times New Roman"/>
          <w:color w:val="000000"/>
          <w:szCs w:val="20"/>
        </w:rPr>
        <w:instrText xml:space="preserve"> REF _Ref90269050 \h </w:instrText>
      </w:r>
      <w:r w:rsidR="00502C3A">
        <w:rPr>
          <w:rFonts w:eastAsia="Yu Gothic Light" w:cs="Times New Roman"/>
          <w:color w:val="000000"/>
          <w:szCs w:val="20"/>
        </w:rPr>
      </w:r>
      <w:r w:rsidR="00502C3A">
        <w:rPr>
          <w:rFonts w:eastAsia="Yu Gothic Light" w:cs="Times New Roman"/>
          <w:color w:val="000000"/>
          <w:szCs w:val="20"/>
        </w:rPr>
        <w:fldChar w:fldCharType="separate"/>
      </w:r>
      <w:r w:rsidR="00502C3A" w:rsidRPr="00AB7206">
        <w:rPr>
          <w:rFonts w:eastAsia="Calibri" w:cs="Arial"/>
          <w:b/>
          <w:bCs/>
          <w:sz w:val="18"/>
        </w:rPr>
        <w:t xml:space="preserve">Table </w:t>
      </w:r>
      <w:r w:rsidR="00502C3A">
        <w:rPr>
          <w:rFonts w:eastAsia="Calibri" w:cs="Arial"/>
          <w:b/>
          <w:bCs/>
          <w:noProof/>
          <w:sz w:val="18"/>
        </w:rPr>
        <w:t>4</w:t>
      </w:r>
      <w:r w:rsidR="00502C3A" w:rsidRPr="00AB7206">
        <w:rPr>
          <w:rFonts w:eastAsia="Calibri" w:cs="Arial"/>
          <w:b/>
          <w:bCs/>
          <w:sz w:val="18"/>
        </w:rPr>
        <w:t>.</w:t>
      </w:r>
      <w:r w:rsidR="00502C3A" w:rsidRPr="00AB7206">
        <w:rPr>
          <w:rFonts w:eastAsia="Calibri" w:cs="Arial"/>
          <w:sz w:val="18"/>
        </w:rPr>
        <w:t xml:space="preserve"> EOR´s agents per country</w:t>
      </w:r>
      <w:r w:rsidR="00502C3A">
        <w:rPr>
          <w:rFonts w:eastAsia="Yu Gothic Light" w:cs="Times New Roman"/>
          <w:color w:val="000000"/>
          <w:szCs w:val="20"/>
        </w:rPr>
        <w:fldChar w:fldCharType="end"/>
      </w:r>
      <w:r w:rsidRPr="006658F5">
        <w:rPr>
          <w:rFonts w:eastAsia="Yu Gothic Light" w:cs="Times New Roman"/>
          <w:color w:val="000000"/>
          <w:szCs w:val="20"/>
        </w:rPr>
        <w:t xml:space="preserve"> indicates the agents per country.</w:t>
      </w:r>
    </w:p>
    <w:p w14:paraId="42BC44E1" w14:textId="19031DEB" w:rsidR="00070F75" w:rsidRPr="00AB7206" w:rsidRDefault="00070F75" w:rsidP="00070F75">
      <w:pPr>
        <w:keepNext/>
        <w:tabs>
          <w:tab w:val="left" w:pos="7200"/>
        </w:tabs>
        <w:spacing w:line="240" w:lineRule="auto"/>
        <w:jc w:val="center"/>
        <w:rPr>
          <w:rFonts w:eastAsia="Calibri" w:cs="Arial"/>
          <w:sz w:val="18"/>
        </w:rPr>
      </w:pPr>
      <w:bookmarkStart w:id="9" w:name="_Ref90269050"/>
      <w:r w:rsidRPr="00AB7206">
        <w:rPr>
          <w:rFonts w:eastAsia="Calibri" w:cs="Arial"/>
          <w:b/>
          <w:bCs/>
          <w:sz w:val="18"/>
        </w:rPr>
        <w:t xml:space="preserve">Table </w:t>
      </w:r>
      <w:r w:rsidRPr="00AB7206">
        <w:rPr>
          <w:rFonts w:eastAsia="Calibri" w:cs="Arial"/>
          <w:b/>
          <w:bCs/>
          <w:sz w:val="18"/>
        </w:rPr>
        <w:fldChar w:fldCharType="begin"/>
      </w:r>
      <w:r w:rsidRPr="00AB7206">
        <w:rPr>
          <w:rFonts w:eastAsia="Calibri" w:cs="Arial"/>
          <w:b/>
          <w:bCs/>
          <w:sz w:val="18"/>
        </w:rPr>
        <w:instrText xml:space="preserve"> SEQ Table \* ARABIC </w:instrText>
      </w:r>
      <w:r w:rsidRPr="00AB7206">
        <w:rPr>
          <w:rFonts w:eastAsia="Calibri" w:cs="Arial"/>
          <w:b/>
          <w:bCs/>
          <w:sz w:val="18"/>
        </w:rPr>
        <w:fldChar w:fldCharType="separate"/>
      </w:r>
      <w:r w:rsidR="00D054D0">
        <w:rPr>
          <w:rFonts w:eastAsia="Calibri" w:cs="Arial"/>
          <w:b/>
          <w:bCs/>
          <w:noProof/>
          <w:sz w:val="18"/>
        </w:rPr>
        <w:t>4</w:t>
      </w:r>
      <w:r w:rsidRPr="00AB7206">
        <w:rPr>
          <w:rFonts w:eastAsia="Calibri" w:cs="Arial"/>
          <w:b/>
          <w:bCs/>
          <w:sz w:val="18"/>
        </w:rPr>
        <w:fldChar w:fldCharType="end"/>
      </w:r>
      <w:r w:rsidRPr="00AB7206">
        <w:rPr>
          <w:rFonts w:eastAsia="Calibri" w:cs="Arial"/>
          <w:b/>
          <w:bCs/>
          <w:sz w:val="18"/>
        </w:rPr>
        <w:t>.</w:t>
      </w:r>
      <w:r w:rsidRPr="00AB7206">
        <w:rPr>
          <w:rFonts w:eastAsia="Calibri" w:cs="Arial"/>
          <w:sz w:val="18"/>
        </w:rPr>
        <w:t xml:space="preserve"> EOR´s agents per country</w:t>
      </w:r>
      <w:bookmarkEnd w:id="9"/>
    </w:p>
    <w:p w14:paraId="4BAB40C8" w14:textId="77777777" w:rsidR="00070F75" w:rsidRPr="00AB7206" w:rsidRDefault="00070F75" w:rsidP="00070F75">
      <w:pPr>
        <w:spacing w:line="240" w:lineRule="auto"/>
        <w:ind w:left="60"/>
        <w:jc w:val="center"/>
        <w:rPr>
          <w:rFonts w:eastAsia="Yu Gothic Light" w:cs="Times New Roman"/>
          <w:color w:val="000000"/>
          <w:szCs w:val="20"/>
        </w:rPr>
      </w:pPr>
      <w:r w:rsidRPr="00AB7206">
        <w:rPr>
          <w:rFonts w:eastAsia="Yu Gothic Light" w:cs="Times New Roman"/>
          <w:noProof/>
          <w:color w:val="000000"/>
          <w:szCs w:val="20"/>
        </w:rPr>
        <w:drawing>
          <wp:inline distT="0" distB="0" distL="0" distR="0" wp14:anchorId="239123B4" wp14:editId="26C4FAC0">
            <wp:extent cx="2343150" cy="1814250"/>
            <wp:effectExtent l="0" t="0" r="0" b="0"/>
            <wp:docPr id="12" name="Imagen 1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Tabla&#10;&#10;Descripción generada automáticament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45391" cy="1815985"/>
                    </a:xfrm>
                    <a:prstGeom prst="rect">
                      <a:avLst/>
                    </a:prstGeom>
                    <a:noFill/>
                    <a:ln>
                      <a:noFill/>
                    </a:ln>
                  </pic:spPr>
                </pic:pic>
              </a:graphicData>
            </a:graphic>
          </wp:inline>
        </w:drawing>
      </w:r>
    </w:p>
    <w:p w14:paraId="03E118B8" w14:textId="77777777" w:rsidR="00070F75" w:rsidRPr="00AB7206" w:rsidRDefault="00070F75" w:rsidP="00070F75">
      <w:pPr>
        <w:spacing w:line="240" w:lineRule="auto"/>
        <w:ind w:left="60"/>
        <w:jc w:val="center"/>
        <w:rPr>
          <w:rFonts w:eastAsia="Yu Gothic Light" w:cs="Times New Roman"/>
          <w:i/>
          <w:iCs/>
          <w:color w:val="000000"/>
          <w:sz w:val="16"/>
          <w:szCs w:val="16"/>
        </w:rPr>
      </w:pPr>
      <w:r w:rsidRPr="00AB7206">
        <w:rPr>
          <w:rFonts w:eastAsia="Yu Gothic Light" w:cs="Times New Roman"/>
          <w:i/>
          <w:iCs/>
          <w:color w:val="000000"/>
          <w:sz w:val="16"/>
          <w:szCs w:val="16"/>
        </w:rPr>
        <w:t>Source: Statical Reports 2019, 2020 of Regional Operating Agency (EOR)</w:t>
      </w:r>
    </w:p>
    <w:p w14:paraId="5D6F27B7" w14:textId="77777777" w:rsidR="00B317D5" w:rsidRDefault="00B317D5" w:rsidP="00070F75">
      <w:pPr>
        <w:spacing w:line="240" w:lineRule="auto"/>
        <w:ind w:left="60"/>
        <w:rPr>
          <w:rFonts w:eastAsia="Yu Gothic Light" w:cs="Times New Roman"/>
          <w:color w:val="000000"/>
        </w:rPr>
      </w:pPr>
      <w:r>
        <w:rPr>
          <w:rFonts w:eastAsia="Yu Gothic Light" w:cs="Times New Roman"/>
          <w:color w:val="000000"/>
        </w:rPr>
        <w:t xml:space="preserve">Monopolistic policies in Costa Rica and Honduras are reflected in the number of authorized agents from these countries, something that is generating a lot of criticism from private investors in the RE sector of this country. </w:t>
      </w:r>
    </w:p>
    <w:p w14:paraId="6D7DF912" w14:textId="26E6E5D4" w:rsidR="00070F75" w:rsidRPr="00CB4732" w:rsidRDefault="00A45CF4" w:rsidP="00070F75">
      <w:pPr>
        <w:spacing w:line="240" w:lineRule="auto"/>
        <w:ind w:left="60"/>
        <w:rPr>
          <w:rFonts w:eastAsia="Yu Gothic Light" w:cs="Times New Roman"/>
          <w:color w:val="000000"/>
          <w:lang w:val="es-CR"/>
        </w:rPr>
      </w:pPr>
      <w:r>
        <w:rPr>
          <w:rFonts w:eastAsia="Yu Gothic Light" w:cs="Times New Roman"/>
          <w:color w:val="000000"/>
        </w:rPr>
        <w:t>Through the MER, from</w:t>
      </w:r>
      <w:r w:rsidR="00070F75" w:rsidRPr="00AB7206">
        <w:rPr>
          <w:rFonts w:eastAsia="Yu Gothic Light" w:cs="Times New Roman"/>
          <w:color w:val="000000"/>
        </w:rPr>
        <w:t xml:space="preserve"> 2013 until 2020</w:t>
      </w:r>
      <w:r w:rsidR="00B317D5">
        <w:rPr>
          <w:rFonts w:eastAsia="Yu Gothic Light" w:cs="Times New Roman"/>
          <w:color w:val="000000"/>
        </w:rPr>
        <w:t>,</w:t>
      </w:r>
      <w:r w:rsidR="00070F75" w:rsidRPr="00AB7206">
        <w:rPr>
          <w:rFonts w:eastAsia="Yu Gothic Light" w:cs="Times New Roman"/>
          <w:color w:val="000000"/>
        </w:rPr>
        <w:t xml:space="preserve"> energy exports have grown from 690 </w:t>
      </w:r>
      <w:r w:rsidR="00070F75" w:rsidRPr="00B317D5">
        <w:rPr>
          <w:rFonts w:eastAsia="Yu Gothic Light" w:cs="Times New Roman"/>
          <w:color w:val="000000"/>
        </w:rPr>
        <w:t xml:space="preserve">GWh to </w:t>
      </w:r>
      <w:r w:rsidR="00ED602C" w:rsidRPr="00B317D5">
        <w:rPr>
          <w:rFonts w:eastAsia="Yu Gothic Light" w:cs="Times New Roman"/>
          <w:color w:val="000000"/>
        </w:rPr>
        <w:t>2,820</w:t>
      </w:r>
      <w:r w:rsidR="00070F75" w:rsidRPr="00B317D5">
        <w:rPr>
          <w:rFonts w:eastAsia="Yu Gothic Light" w:cs="Times New Roman"/>
          <w:color w:val="000000"/>
        </w:rPr>
        <w:t xml:space="preserve"> GWh (26.8% annual average), as shown in </w:t>
      </w:r>
      <w:r w:rsidR="00070F75" w:rsidRPr="00B317D5">
        <w:rPr>
          <w:rFonts w:eastAsia="Yu Gothic Light" w:cs="Times New Roman"/>
          <w:b/>
          <w:bCs/>
          <w:color w:val="000000"/>
        </w:rPr>
        <w:fldChar w:fldCharType="begin"/>
      </w:r>
      <w:r w:rsidR="00070F75" w:rsidRPr="00B317D5">
        <w:rPr>
          <w:rFonts w:eastAsia="Yu Gothic Light" w:cs="Times New Roman"/>
          <w:b/>
          <w:bCs/>
          <w:color w:val="000000"/>
        </w:rPr>
        <w:instrText xml:space="preserve"> REF _Ref79856667 \h </w:instrText>
      </w:r>
      <w:r w:rsidR="00B317D5" w:rsidRPr="00B317D5">
        <w:rPr>
          <w:rFonts w:eastAsia="Yu Gothic Light" w:cs="Times New Roman"/>
          <w:b/>
          <w:bCs/>
          <w:color w:val="000000"/>
        </w:rPr>
        <w:instrText xml:space="preserve"> \* MERGEFORMAT </w:instrText>
      </w:r>
      <w:r w:rsidR="00070F75" w:rsidRPr="00B317D5">
        <w:rPr>
          <w:rFonts w:eastAsia="Yu Gothic Light" w:cs="Times New Roman"/>
          <w:b/>
          <w:bCs/>
          <w:color w:val="000000"/>
        </w:rPr>
      </w:r>
      <w:r w:rsidR="00070F75" w:rsidRPr="00B317D5">
        <w:rPr>
          <w:rFonts w:eastAsia="Yu Gothic Light" w:cs="Times New Roman"/>
          <w:b/>
          <w:bCs/>
          <w:color w:val="000000"/>
        </w:rPr>
        <w:fldChar w:fldCharType="separate"/>
      </w:r>
      <w:r w:rsidR="00D054D0" w:rsidRPr="00D054D0">
        <w:rPr>
          <w:rFonts w:eastAsia="Calibri" w:cs="Arial"/>
          <w:b/>
          <w:bCs/>
        </w:rPr>
        <w:t xml:space="preserve">Table </w:t>
      </w:r>
      <w:r w:rsidR="00D054D0" w:rsidRPr="00D054D0">
        <w:rPr>
          <w:rFonts w:eastAsia="Calibri" w:cs="Arial"/>
          <w:b/>
          <w:bCs/>
          <w:noProof/>
        </w:rPr>
        <w:t>5</w:t>
      </w:r>
      <w:r w:rsidR="00070F75" w:rsidRPr="00B317D5">
        <w:rPr>
          <w:rFonts w:eastAsia="Yu Gothic Light" w:cs="Times New Roman"/>
          <w:color w:val="000000"/>
        </w:rPr>
        <w:fldChar w:fldCharType="end"/>
      </w:r>
      <w:r w:rsidR="00070F75" w:rsidRPr="00B317D5">
        <w:rPr>
          <w:rFonts w:eastAsia="Yu Gothic Light" w:cs="Times New Roman"/>
          <w:color w:val="000000"/>
        </w:rPr>
        <w:t xml:space="preserve">. </w:t>
      </w:r>
      <w:r w:rsidR="00070F75" w:rsidRPr="006658F5">
        <w:rPr>
          <w:rFonts w:eastAsia="Yu Gothic Light" w:cs="Times New Roman"/>
          <w:color w:val="000000"/>
          <w:lang w:val="es-CR"/>
        </w:rPr>
        <w:t>Guatemala share represents 59% of energy exports, Panama 14%, El Salvador 13%, Costa Rica 12%, and Nicaragua 1%.</w:t>
      </w:r>
    </w:p>
    <w:p w14:paraId="14C92A84" w14:textId="7D22D9FF" w:rsidR="00070F75" w:rsidRPr="00AB7206" w:rsidRDefault="00070F75" w:rsidP="00070F75">
      <w:pPr>
        <w:spacing w:line="240" w:lineRule="auto"/>
        <w:ind w:left="60"/>
        <w:rPr>
          <w:rFonts w:eastAsia="Yu Gothic Light" w:cs="Times New Roman"/>
          <w:color w:val="000000"/>
        </w:rPr>
      </w:pPr>
      <w:r w:rsidRPr="00AB7206">
        <w:rPr>
          <w:rFonts w:eastAsia="Yu Gothic Light" w:cs="Times New Roman"/>
          <w:color w:val="000000"/>
        </w:rPr>
        <w:t>These transactions concentrate in Guatemala and El Salvador because of the greater convergence of the regulations of the</w:t>
      </w:r>
      <w:r w:rsidR="007C12D3">
        <w:rPr>
          <w:rFonts w:eastAsia="Yu Gothic Light" w:cs="Times New Roman"/>
          <w:color w:val="000000"/>
        </w:rPr>
        <w:t>ir</w:t>
      </w:r>
      <w:r w:rsidRPr="00AB7206">
        <w:rPr>
          <w:rFonts w:eastAsia="Yu Gothic Light" w:cs="Times New Roman"/>
          <w:color w:val="000000"/>
        </w:rPr>
        <w:t xml:space="preserve"> national markets and by a long history of bilateral transactions dating back to 1986.</w:t>
      </w:r>
    </w:p>
    <w:p w14:paraId="0470D0EA" w14:textId="047CF85B" w:rsidR="00070F75" w:rsidRPr="00AB7206" w:rsidRDefault="00070F75" w:rsidP="00070F75">
      <w:pPr>
        <w:keepNext/>
        <w:tabs>
          <w:tab w:val="left" w:pos="7200"/>
        </w:tabs>
        <w:spacing w:line="240" w:lineRule="auto"/>
        <w:jc w:val="center"/>
        <w:rPr>
          <w:rFonts w:eastAsia="Calibri" w:cs="Arial"/>
          <w:sz w:val="18"/>
        </w:rPr>
      </w:pPr>
      <w:bookmarkStart w:id="10" w:name="_Ref79856667"/>
      <w:r w:rsidRPr="00AB7206">
        <w:rPr>
          <w:rFonts w:eastAsia="Calibri" w:cs="Arial"/>
          <w:b/>
          <w:bCs/>
          <w:sz w:val="18"/>
        </w:rPr>
        <w:t xml:space="preserve">Table </w:t>
      </w:r>
      <w:r w:rsidRPr="00AB7206">
        <w:rPr>
          <w:rFonts w:eastAsia="Calibri" w:cs="Arial"/>
          <w:b/>
          <w:bCs/>
          <w:sz w:val="18"/>
        </w:rPr>
        <w:fldChar w:fldCharType="begin"/>
      </w:r>
      <w:r w:rsidRPr="00AB7206">
        <w:rPr>
          <w:rFonts w:eastAsia="Calibri" w:cs="Arial"/>
          <w:b/>
          <w:bCs/>
          <w:sz w:val="18"/>
        </w:rPr>
        <w:instrText xml:space="preserve"> SEQ Table \* ARABIC </w:instrText>
      </w:r>
      <w:r w:rsidRPr="00AB7206">
        <w:rPr>
          <w:rFonts w:eastAsia="Calibri" w:cs="Arial"/>
          <w:b/>
          <w:bCs/>
          <w:sz w:val="18"/>
        </w:rPr>
        <w:fldChar w:fldCharType="separate"/>
      </w:r>
      <w:r w:rsidR="00D054D0">
        <w:rPr>
          <w:rFonts w:eastAsia="Calibri" w:cs="Arial"/>
          <w:b/>
          <w:bCs/>
          <w:noProof/>
          <w:sz w:val="18"/>
        </w:rPr>
        <w:t>5</w:t>
      </w:r>
      <w:r w:rsidRPr="00AB7206">
        <w:rPr>
          <w:rFonts w:eastAsia="Calibri" w:cs="Arial"/>
          <w:b/>
          <w:bCs/>
          <w:sz w:val="18"/>
        </w:rPr>
        <w:fldChar w:fldCharType="end"/>
      </w:r>
      <w:bookmarkEnd w:id="10"/>
      <w:r w:rsidRPr="00AB7206">
        <w:rPr>
          <w:rFonts w:eastAsia="Calibri" w:cs="Arial"/>
          <w:b/>
          <w:bCs/>
          <w:sz w:val="18"/>
        </w:rPr>
        <w:t>.</w:t>
      </w:r>
      <w:r w:rsidRPr="00AB7206">
        <w:rPr>
          <w:rFonts w:eastAsia="Calibri" w:cs="Arial"/>
          <w:sz w:val="18"/>
        </w:rPr>
        <w:t xml:space="preserve"> Energy exports per country 2013 – 2020 (GWh)</w:t>
      </w:r>
    </w:p>
    <w:p w14:paraId="770B5501" w14:textId="77777777" w:rsidR="00070F75" w:rsidRPr="00AB7206" w:rsidRDefault="00070F75" w:rsidP="007C12D3">
      <w:pPr>
        <w:spacing w:line="240" w:lineRule="auto"/>
        <w:ind w:left="-284"/>
        <w:rPr>
          <w:rFonts w:eastAsia="Yu Gothic Light" w:cs="Times New Roman"/>
          <w:color w:val="000000"/>
        </w:rPr>
      </w:pPr>
      <w:r w:rsidRPr="00AB7206">
        <w:rPr>
          <w:rFonts w:eastAsia="Calibri" w:cs="Arial"/>
          <w:noProof/>
        </w:rPr>
        <w:drawing>
          <wp:inline distT="0" distB="0" distL="0" distR="0" wp14:anchorId="0F57F164" wp14:editId="7A1E2F60">
            <wp:extent cx="5924550" cy="1327150"/>
            <wp:effectExtent l="0" t="0" r="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24550" cy="1327150"/>
                    </a:xfrm>
                    <a:prstGeom prst="rect">
                      <a:avLst/>
                    </a:prstGeom>
                    <a:noFill/>
                    <a:ln>
                      <a:noFill/>
                    </a:ln>
                  </pic:spPr>
                </pic:pic>
              </a:graphicData>
            </a:graphic>
          </wp:inline>
        </w:drawing>
      </w:r>
    </w:p>
    <w:p w14:paraId="08C909D1" w14:textId="5C7BCFF8" w:rsidR="00070F75" w:rsidRPr="00AB7206" w:rsidRDefault="00070F75" w:rsidP="00070F75">
      <w:pPr>
        <w:spacing w:line="240" w:lineRule="auto"/>
        <w:ind w:left="60"/>
        <w:rPr>
          <w:rFonts w:eastAsia="Yu Gothic Light" w:cs="Times New Roman"/>
          <w:i/>
          <w:iCs/>
          <w:color w:val="000000"/>
          <w:sz w:val="16"/>
          <w:szCs w:val="16"/>
        </w:rPr>
      </w:pPr>
      <w:r w:rsidRPr="00AB7206">
        <w:rPr>
          <w:rFonts w:eastAsia="Yu Gothic Light" w:cs="Times New Roman"/>
          <w:i/>
          <w:iCs/>
          <w:color w:val="000000"/>
          <w:sz w:val="16"/>
          <w:szCs w:val="16"/>
        </w:rPr>
        <w:t>Source: Electricity Subsector Statics of the Central American Integration System (SICA) Countries 2019 -2020.- ECLAC</w:t>
      </w:r>
    </w:p>
    <w:p w14:paraId="238A538B" w14:textId="2EEB5556" w:rsidR="00070F75" w:rsidRPr="00CC47BB" w:rsidRDefault="00070F75" w:rsidP="00070F75">
      <w:pPr>
        <w:spacing w:line="240" w:lineRule="auto"/>
        <w:ind w:left="60"/>
        <w:rPr>
          <w:rFonts w:eastAsia="Yu Gothic Light" w:cs="Times New Roman"/>
          <w:color w:val="000000"/>
          <w:lang w:val="es-CR"/>
        </w:rPr>
      </w:pPr>
      <w:r w:rsidRPr="00AB7206">
        <w:rPr>
          <w:rFonts w:eastAsia="Yu Gothic Light" w:cs="Times New Roman"/>
          <w:color w:val="000000"/>
        </w:rPr>
        <w:t xml:space="preserve">The energy imports have a similar trend during the same period as shows the next table. </w:t>
      </w:r>
      <w:r w:rsidRPr="00CC47BB">
        <w:rPr>
          <w:rFonts w:eastAsia="Yu Gothic Light" w:cs="Times New Roman"/>
          <w:color w:val="000000"/>
          <w:lang w:val="es-CR"/>
        </w:rPr>
        <w:t xml:space="preserve">El Salvador </w:t>
      </w:r>
      <w:r w:rsidRPr="006658F5">
        <w:rPr>
          <w:rFonts w:eastAsia="Yu Gothic Light" w:cs="Times New Roman"/>
          <w:color w:val="000000"/>
          <w:lang w:val="es-CR"/>
        </w:rPr>
        <w:t>represents</w:t>
      </w:r>
      <w:r w:rsidRPr="00CC47BB">
        <w:rPr>
          <w:rFonts w:eastAsia="Yu Gothic Light" w:cs="Times New Roman"/>
          <w:color w:val="000000"/>
          <w:lang w:val="es-CR"/>
        </w:rPr>
        <w:t xml:space="preserve"> 61%, Nicaragua 14%, Honduras 13%, Costa Rica 8%, </w:t>
      </w:r>
      <w:r w:rsidRPr="006658F5">
        <w:rPr>
          <w:rFonts w:eastAsia="Yu Gothic Light" w:cs="Times New Roman"/>
          <w:color w:val="000000"/>
          <w:lang w:val="es-CR"/>
        </w:rPr>
        <w:t>Panama</w:t>
      </w:r>
      <w:r w:rsidRPr="00CC47BB">
        <w:rPr>
          <w:rFonts w:eastAsia="Yu Gothic Light" w:cs="Times New Roman"/>
          <w:color w:val="000000"/>
          <w:lang w:val="es-CR"/>
        </w:rPr>
        <w:t xml:space="preserve"> 3%</w:t>
      </w:r>
      <w:r w:rsidR="00A94C55">
        <w:rPr>
          <w:rFonts w:eastAsia="Yu Gothic Light" w:cs="Times New Roman"/>
          <w:color w:val="000000"/>
          <w:lang w:val="es-CR"/>
        </w:rPr>
        <w:t>,</w:t>
      </w:r>
      <w:r w:rsidRPr="00CC47BB">
        <w:rPr>
          <w:rFonts w:eastAsia="Yu Gothic Light" w:cs="Times New Roman"/>
          <w:color w:val="000000"/>
          <w:lang w:val="es-CR"/>
        </w:rPr>
        <w:t xml:space="preserve"> and Guatemala 1%.</w:t>
      </w:r>
    </w:p>
    <w:p w14:paraId="0CB3D351" w14:textId="289D9689" w:rsidR="00070F75" w:rsidRPr="00AB7206" w:rsidRDefault="00070F75" w:rsidP="00070F75">
      <w:pPr>
        <w:tabs>
          <w:tab w:val="left" w:pos="7200"/>
        </w:tabs>
        <w:spacing w:line="240" w:lineRule="auto"/>
        <w:jc w:val="center"/>
        <w:rPr>
          <w:rFonts w:eastAsia="Yu Gothic Light" w:cs="Times New Roman"/>
          <w:color w:val="000000"/>
          <w:sz w:val="18"/>
        </w:rPr>
      </w:pPr>
      <w:bookmarkStart w:id="11" w:name="_Ref79857233"/>
      <w:r w:rsidRPr="00AB7206">
        <w:rPr>
          <w:rFonts w:eastAsia="Calibri" w:cs="Arial"/>
          <w:b/>
          <w:bCs/>
          <w:sz w:val="18"/>
        </w:rPr>
        <w:t xml:space="preserve">Table </w:t>
      </w:r>
      <w:r w:rsidRPr="00AB7206">
        <w:rPr>
          <w:rFonts w:eastAsia="Calibri" w:cs="Arial"/>
          <w:b/>
          <w:bCs/>
          <w:sz w:val="18"/>
        </w:rPr>
        <w:fldChar w:fldCharType="begin"/>
      </w:r>
      <w:r w:rsidRPr="00AB7206">
        <w:rPr>
          <w:rFonts w:eastAsia="Calibri" w:cs="Arial"/>
          <w:b/>
          <w:bCs/>
          <w:sz w:val="18"/>
        </w:rPr>
        <w:instrText xml:space="preserve"> SEQ Table \* ARABIC </w:instrText>
      </w:r>
      <w:r w:rsidRPr="00AB7206">
        <w:rPr>
          <w:rFonts w:eastAsia="Calibri" w:cs="Arial"/>
          <w:b/>
          <w:bCs/>
          <w:sz w:val="18"/>
        </w:rPr>
        <w:fldChar w:fldCharType="separate"/>
      </w:r>
      <w:r w:rsidR="00D054D0">
        <w:rPr>
          <w:rFonts w:eastAsia="Calibri" w:cs="Arial"/>
          <w:b/>
          <w:bCs/>
          <w:noProof/>
          <w:sz w:val="18"/>
        </w:rPr>
        <w:t>6</w:t>
      </w:r>
      <w:r w:rsidRPr="00AB7206">
        <w:rPr>
          <w:rFonts w:eastAsia="Calibri" w:cs="Arial"/>
          <w:b/>
          <w:bCs/>
          <w:sz w:val="18"/>
        </w:rPr>
        <w:fldChar w:fldCharType="end"/>
      </w:r>
      <w:bookmarkEnd w:id="11"/>
      <w:r w:rsidRPr="00AB7206">
        <w:rPr>
          <w:rFonts w:eastAsia="Calibri" w:cs="Arial"/>
          <w:b/>
          <w:bCs/>
          <w:sz w:val="18"/>
        </w:rPr>
        <w:t>.</w:t>
      </w:r>
      <w:r w:rsidRPr="00AB7206">
        <w:rPr>
          <w:rFonts w:eastAsia="Calibri" w:cs="Arial"/>
          <w:sz w:val="18"/>
        </w:rPr>
        <w:t xml:space="preserve"> Energy Imports per country 2013 – 2020 (GWh)</w:t>
      </w:r>
    </w:p>
    <w:p w14:paraId="69BE7967" w14:textId="77777777" w:rsidR="00070F75" w:rsidRPr="00AB7206" w:rsidRDefault="00070F75" w:rsidP="007C12D3">
      <w:pPr>
        <w:spacing w:line="240" w:lineRule="auto"/>
        <w:ind w:left="-284"/>
        <w:rPr>
          <w:rFonts w:eastAsia="Yu Gothic Light" w:cs="Times New Roman"/>
          <w:color w:val="000000"/>
        </w:rPr>
      </w:pPr>
      <w:r w:rsidRPr="00AB7206">
        <w:rPr>
          <w:rFonts w:eastAsia="Calibri" w:cs="Arial"/>
          <w:noProof/>
        </w:rPr>
        <w:drawing>
          <wp:inline distT="0" distB="0" distL="0" distR="0" wp14:anchorId="56F14ABC" wp14:editId="21510C55">
            <wp:extent cx="5943600" cy="1289050"/>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1289050"/>
                    </a:xfrm>
                    <a:prstGeom prst="rect">
                      <a:avLst/>
                    </a:prstGeom>
                    <a:noFill/>
                    <a:ln>
                      <a:noFill/>
                    </a:ln>
                  </pic:spPr>
                </pic:pic>
              </a:graphicData>
            </a:graphic>
          </wp:inline>
        </w:drawing>
      </w:r>
    </w:p>
    <w:p w14:paraId="4B446059" w14:textId="3D121521" w:rsidR="00070F75" w:rsidRPr="00AB7206" w:rsidRDefault="00070F75" w:rsidP="00070F75">
      <w:pPr>
        <w:spacing w:line="240" w:lineRule="auto"/>
        <w:ind w:left="60"/>
        <w:rPr>
          <w:rFonts w:eastAsia="Yu Gothic Light" w:cs="Times New Roman"/>
          <w:i/>
          <w:iCs/>
          <w:color w:val="000000"/>
          <w:sz w:val="16"/>
          <w:szCs w:val="16"/>
        </w:rPr>
      </w:pPr>
      <w:r w:rsidRPr="00AB7206">
        <w:rPr>
          <w:rFonts w:eastAsia="Yu Gothic Light" w:cs="Times New Roman"/>
          <w:i/>
          <w:iCs/>
          <w:color w:val="000000"/>
          <w:sz w:val="16"/>
          <w:szCs w:val="16"/>
        </w:rPr>
        <w:t>Source: Electricity Subsector Statics of the Central American Integration System (SICA) Countries 2019 -2020.- ECLAC</w:t>
      </w:r>
    </w:p>
    <w:p w14:paraId="193120CF" w14:textId="2C018993" w:rsidR="00070F75" w:rsidRPr="00AB7206" w:rsidRDefault="0039523B" w:rsidP="00070F75">
      <w:pPr>
        <w:spacing w:line="240" w:lineRule="auto"/>
        <w:rPr>
          <w:rFonts w:eastAsia="Yu Gothic Light" w:cs="Times New Roman"/>
          <w:color w:val="000000"/>
        </w:rPr>
      </w:pPr>
      <w:r>
        <w:rPr>
          <w:rFonts w:eastAsia="Yu Gothic Light" w:cs="Times New Roman"/>
          <w:color w:val="000000"/>
        </w:rPr>
        <w:t>Despite all this MER legal and physical infrastructure, the</w:t>
      </w:r>
      <w:r w:rsidR="007C12D3">
        <w:rPr>
          <w:rFonts w:eastAsia="Yu Gothic Light" w:cs="Times New Roman"/>
          <w:color w:val="000000"/>
        </w:rPr>
        <w:t xml:space="preserve"> participation of international tran</w:t>
      </w:r>
      <w:r>
        <w:rPr>
          <w:rFonts w:eastAsia="Yu Gothic Light" w:cs="Times New Roman"/>
          <w:color w:val="000000"/>
        </w:rPr>
        <w:t>sactions, compared to the total electricity generation in the region, is relatively small.  In</w:t>
      </w:r>
      <w:r w:rsidR="00070F75" w:rsidRPr="00AB7206">
        <w:rPr>
          <w:rFonts w:eastAsia="Yu Gothic Light" w:cs="Times New Roman"/>
          <w:color w:val="000000"/>
        </w:rPr>
        <w:t xml:space="preserve"> the period 2013 – 2020, the Central Amer</w:t>
      </w:r>
      <w:r w:rsidR="00A94C55">
        <w:rPr>
          <w:rFonts w:eastAsia="Yu Gothic Light" w:cs="Times New Roman"/>
          <w:color w:val="000000"/>
        </w:rPr>
        <w:t>i</w:t>
      </w:r>
      <w:r w:rsidR="00070F75" w:rsidRPr="00AB7206">
        <w:rPr>
          <w:rFonts w:eastAsia="Yu Gothic Light" w:cs="Times New Roman"/>
          <w:color w:val="000000"/>
        </w:rPr>
        <w:t>ca countries generated 399,645.8 GWh (</w:t>
      </w:r>
      <w:r>
        <w:rPr>
          <w:rFonts w:eastAsia="Yu Gothic Light" w:cs="Times New Roman"/>
          <w:color w:val="000000"/>
        </w:rPr>
        <w:t xml:space="preserve">see </w:t>
      </w:r>
      <w:r w:rsidR="00070F75" w:rsidRPr="00AB7206">
        <w:rPr>
          <w:rFonts w:eastAsia="Yu Gothic Light" w:cs="Times New Roman"/>
          <w:color w:val="000000"/>
        </w:rPr>
        <w:t>next table)</w:t>
      </w:r>
      <w:r>
        <w:rPr>
          <w:rFonts w:eastAsia="Yu Gothic Light" w:cs="Times New Roman"/>
          <w:color w:val="000000"/>
        </w:rPr>
        <w:t xml:space="preserve">, while the </w:t>
      </w:r>
      <w:r w:rsidRPr="0039523B">
        <w:rPr>
          <w:rFonts w:eastAsia="Yu Gothic Light" w:cs="Times New Roman"/>
          <w:color w:val="000000"/>
        </w:rPr>
        <w:t>energy traded at MER only represent</w:t>
      </w:r>
      <w:r>
        <w:rPr>
          <w:rFonts w:eastAsia="Yu Gothic Light" w:cs="Times New Roman"/>
          <w:color w:val="000000"/>
        </w:rPr>
        <w:t xml:space="preserve">ed </w:t>
      </w:r>
      <w:r w:rsidRPr="0039523B">
        <w:rPr>
          <w:rFonts w:eastAsia="Yu Gothic Light" w:cs="Times New Roman"/>
          <w:color w:val="000000"/>
        </w:rPr>
        <w:t xml:space="preserve">4.11% of </w:t>
      </w:r>
      <w:r>
        <w:rPr>
          <w:rFonts w:eastAsia="Yu Gothic Light" w:cs="Times New Roman"/>
          <w:color w:val="000000"/>
        </w:rPr>
        <w:t>that total</w:t>
      </w:r>
      <w:r w:rsidRPr="0039523B">
        <w:rPr>
          <w:rFonts w:eastAsia="Yu Gothic Light" w:cs="Times New Roman"/>
          <w:color w:val="000000"/>
        </w:rPr>
        <w:t>.</w:t>
      </w:r>
      <w:r w:rsidR="00070F75" w:rsidRPr="00AB7206">
        <w:rPr>
          <w:rFonts w:eastAsia="Yu Gothic Light" w:cs="Times New Roman"/>
          <w:color w:val="000000"/>
        </w:rPr>
        <w:t xml:space="preserve"> </w:t>
      </w:r>
    </w:p>
    <w:p w14:paraId="0CC45CF3" w14:textId="516E0762" w:rsidR="00070F75" w:rsidRPr="00AB7206" w:rsidRDefault="00070F75" w:rsidP="00070F75">
      <w:pPr>
        <w:keepNext/>
        <w:tabs>
          <w:tab w:val="left" w:pos="7200"/>
        </w:tabs>
        <w:spacing w:line="240" w:lineRule="auto"/>
        <w:jc w:val="center"/>
        <w:rPr>
          <w:rFonts w:eastAsia="Calibri" w:cs="Arial"/>
          <w:sz w:val="18"/>
        </w:rPr>
      </w:pPr>
      <w:bookmarkStart w:id="12" w:name="_Ref79858779"/>
      <w:r w:rsidRPr="00AB7206">
        <w:rPr>
          <w:rFonts w:eastAsia="Calibri" w:cs="Arial"/>
          <w:b/>
          <w:bCs/>
          <w:sz w:val="18"/>
        </w:rPr>
        <w:t xml:space="preserve">Table </w:t>
      </w:r>
      <w:r w:rsidRPr="00AB7206">
        <w:rPr>
          <w:rFonts w:eastAsia="Calibri" w:cs="Arial"/>
          <w:b/>
          <w:bCs/>
          <w:sz w:val="18"/>
        </w:rPr>
        <w:fldChar w:fldCharType="begin"/>
      </w:r>
      <w:r w:rsidRPr="00AB7206">
        <w:rPr>
          <w:rFonts w:eastAsia="Calibri" w:cs="Arial"/>
          <w:b/>
          <w:bCs/>
          <w:sz w:val="18"/>
        </w:rPr>
        <w:instrText xml:space="preserve"> SEQ Table \* ARABIC </w:instrText>
      </w:r>
      <w:r w:rsidRPr="00AB7206">
        <w:rPr>
          <w:rFonts w:eastAsia="Calibri" w:cs="Arial"/>
          <w:b/>
          <w:bCs/>
          <w:sz w:val="18"/>
        </w:rPr>
        <w:fldChar w:fldCharType="separate"/>
      </w:r>
      <w:r w:rsidR="00D054D0">
        <w:rPr>
          <w:rFonts w:eastAsia="Calibri" w:cs="Arial"/>
          <w:b/>
          <w:bCs/>
          <w:noProof/>
          <w:sz w:val="18"/>
        </w:rPr>
        <w:t>7</w:t>
      </w:r>
      <w:r w:rsidRPr="00AB7206">
        <w:rPr>
          <w:rFonts w:eastAsia="Calibri" w:cs="Arial"/>
          <w:b/>
          <w:bCs/>
          <w:sz w:val="18"/>
        </w:rPr>
        <w:fldChar w:fldCharType="end"/>
      </w:r>
      <w:bookmarkEnd w:id="12"/>
      <w:r w:rsidRPr="00AB7206">
        <w:rPr>
          <w:rFonts w:eastAsia="Calibri" w:cs="Arial"/>
          <w:b/>
          <w:bCs/>
          <w:sz w:val="18"/>
        </w:rPr>
        <w:t xml:space="preserve">. </w:t>
      </w:r>
      <w:r w:rsidRPr="00AB7206">
        <w:rPr>
          <w:rFonts w:eastAsia="Calibri" w:cs="Arial"/>
          <w:sz w:val="18"/>
        </w:rPr>
        <w:t>Energy generated per country 2013 – 2020 (GWh)</w:t>
      </w:r>
    </w:p>
    <w:p w14:paraId="642E8F25" w14:textId="77777777" w:rsidR="00070F75" w:rsidRPr="00AB7206" w:rsidRDefault="00070F75" w:rsidP="00070F75">
      <w:pPr>
        <w:spacing w:line="240" w:lineRule="auto"/>
        <w:rPr>
          <w:rFonts w:eastAsia="Yu Gothic Light" w:cs="Times New Roman"/>
          <w:color w:val="000000"/>
        </w:rPr>
      </w:pPr>
      <w:r w:rsidRPr="00AB7206">
        <w:rPr>
          <w:rFonts w:eastAsia="Calibri" w:cs="Arial"/>
          <w:noProof/>
        </w:rPr>
        <w:drawing>
          <wp:inline distT="0" distB="0" distL="0" distR="0" wp14:anchorId="2BD2E552" wp14:editId="54B44A4A">
            <wp:extent cx="5402580" cy="1199515"/>
            <wp:effectExtent l="0" t="0" r="762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02580" cy="1199515"/>
                    </a:xfrm>
                    <a:prstGeom prst="rect">
                      <a:avLst/>
                    </a:prstGeom>
                    <a:noFill/>
                    <a:ln>
                      <a:noFill/>
                    </a:ln>
                  </pic:spPr>
                </pic:pic>
              </a:graphicData>
            </a:graphic>
          </wp:inline>
        </w:drawing>
      </w:r>
    </w:p>
    <w:p w14:paraId="69367979" w14:textId="70B25D09" w:rsidR="00070F75" w:rsidRPr="00AB7206" w:rsidRDefault="00070F75" w:rsidP="00070F75">
      <w:pPr>
        <w:spacing w:line="240" w:lineRule="auto"/>
        <w:ind w:left="60"/>
        <w:rPr>
          <w:rFonts w:eastAsia="Yu Gothic Light" w:cs="Times New Roman"/>
          <w:i/>
          <w:iCs/>
          <w:color w:val="000000"/>
          <w:sz w:val="16"/>
          <w:szCs w:val="16"/>
        </w:rPr>
      </w:pPr>
      <w:r w:rsidRPr="00AB7206">
        <w:rPr>
          <w:rFonts w:eastAsia="Yu Gothic Light" w:cs="Times New Roman"/>
          <w:i/>
          <w:iCs/>
          <w:color w:val="000000"/>
          <w:sz w:val="16"/>
          <w:szCs w:val="16"/>
        </w:rPr>
        <w:t>Source: Electricity Subsector Statics of the Central American Integration System (SICA) Countries 2019 -2020.- ECLAC</w:t>
      </w:r>
    </w:p>
    <w:p w14:paraId="2A3E42F8" w14:textId="7C726A14" w:rsidR="00070F75" w:rsidRPr="00AB7206" w:rsidRDefault="00070F75" w:rsidP="00070F75">
      <w:pPr>
        <w:spacing w:line="240" w:lineRule="auto"/>
        <w:rPr>
          <w:rFonts w:eastAsia="Calibri" w:cs="Arial"/>
        </w:rPr>
      </w:pPr>
      <w:r w:rsidRPr="00AB7206">
        <w:rPr>
          <w:rFonts w:eastAsia="Calibri" w:cs="Arial"/>
        </w:rPr>
        <w:t>Transmission limitations in several sections of the transmission network (caused mainly by the postponement of essential transmission works of national systems) drastically reduce the possibilities of transactions with the south</w:t>
      </w:r>
      <w:r w:rsidR="00227120">
        <w:rPr>
          <w:rFonts w:eastAsia="Calibri" w:cs="Arial"/>
        </w:rPr>
        <w:t>ern</w:t>
      </w:r>
      <w:r w:rsidRPr="00AB7206">
        <w:rPr>
          <w:rFonts w:eastAsia="Calibri" w:cs="Arial"/>
        </w:rPr>
        <w:t xml:space="preserve"> countries (Costa Rica and Panama).</w:t>
      </w:r>
    </w:p>
    <w:p w14:paraId="319BFED5" w14:textId="3E55950B" w:rsidR="00070F75" w:rsidRPr="00AB7206" w:rsidRDefault="00070F75" w:rsidP="00070F75">
      <w:pPr>
        <w:spacing w:line="240" w:lineRule="auto"/>
        <w:rPr>
          <w:rFonts w:eastAsia="Calibri" w:cs="Arial"/>
        </w:rPr>
      </w:pPr>
      <w:r w:rsidRPr="00AB7206">
        <w:rPr>
          <w:rFonts w:eastAsia="Calibri" w:cs="Arial"/>
        </w:rPr>
        <w:t xml:space="preserve">In recent years, at least three countries have </w:t>
      </w:r>
      <w:r w:rsidR="00227120">
        <w:rPr>
          <w:rFonts w:eastAsia="Calibri" w:cs="Arial"/>
        </w:rPr>
        <w:t xml:space="preserve">suffered </w:t>
      </w:r>
      <w:r w:rsidRPr="00AB7206">
        <w:rPr>
          <w:rFonts w:eastAsia="Calibri" w:cs="Arial"/>
        </w:rPr>
        <w:t>electricity supply crises</w:t>
      </w:r>
      <w:r w:rsidR="00951B85">
        <w:rPr>
          <w:rFonts w:eastAsia="Calibri" w:cs="Arial"/>
        </w:rPr>
        <w:t xml:space="preserve">, </w:t>
      </w:r>
      <w:r w:rsidRPr="00AB7206">
        <w:rPr>
          <w:rFonts w:eastAsia="Calibri" w:cs="Arial"/>
        </w:rPr>
        <w:t xml:space="preserve">due to reduced electricity hydroelectric production or forced exits or delay in </w:t>
      </w:r>
      <w:r w:rsidR="00951B85">
        <w:rPr>
          <w:rFonts w:eastAsia="Calibri" w:cs="Arial"/>
        </w:rPr>
        <w:t xml:space="preserve">commissioning </w:t>
      </w:r>
      <w:r w:rsidRPr="00AB7206">
        <w:rPr>
          <w:rFonts w:eastAsia="Calibri" w:cs="Arial"/>
        </w:rPr>
        <w:t>of major generating plants. Th</w:t>
      </w:r>
      <w:r w:rsidR="00951B85">
        <w:rPr>
          <w:rFonts w:eastAsia="Calibri" w:cs="Arial"/>
        </w:rPr>
        <w:t>is</w:t>
      </w:r>
      <w:r w:rsidRPr="00AB7206">
        <w:rPr>
          <w:rFonts w:eastAsia="Calibri" w:cs="Arial"/>
        </w:rPr>
        <w:t xml:space="preserve"> highlight</w:t>
      </w:r>
      <w:r w:rsidR="00951B85">
        <w:rPr>
          <w:rFonts w:eastAsia="Calibri" w:cs="Arial"/>
        </w:rPr>
        <w:t>s</w:t>
      </w:r>
      <w:r w:rsidRPr="00AB7206">
        <w:rPr>
          <w:rFonts w:eastAsia="Calibri" w:cs="Arial"/>
        </w:rPr>
        <w:t xml:space="preserve"> the</w:t>
      </w:r>
      <w:r w:rsidR="00951B85">
        <w:rPr>
          <w:rFonts w:eastAsia="Calibri" w:cs="Arial"/>
        </w:rPr>
        <w:t xml:space="preserve"> urgency for</w:t>
      </w:r>
      <w:r w:rsidRPr="00AB7206">
        <w:rPr>
          <w:rFonts w:eastAsia="Calibri" w:cs="Arial"/>
        </w:rPr>
        <w:t xml:space="preserve"> construction of the second</w:t>
      </w:r>
      <w:r w:rsidR="00951B85">
        <w:rPr>
          <w:rFonts w:eastAsia="Calibri" w:cs="Arial"/>
        </w:rPr>
        <w:t xml:space="preserve"> SIEPA</w:t>
      </w:r>
      <w:r w:rsidR="004D7A15">
        <w:rPr>
          <w:rFonts w:eastAsia="Calibri" w:cs="Arial"/>
        </w:rPr>
        <w:t>C</w:t>
      </w:r>
      <w:r w:rsidRPr="00AB7206">
        <w:rPr>
          <w:rFonts w:eastAsia="Calibri" w:cs="Arial"/>
        </w:rPr>
        <w:t xml:space="preserve"> circuit and the reinforcement</w:t>
      </w:r>
      <w:r w:rsidR="00951B85">
        <w:rPr>
          <w:rFonts w:eastAsia="Calibri" w:cs="Arial"/>
        </w:rPr>
        <w:t xml:space="preserve"> of national</w:t>
      </w:r>
      <w:r w:rsidRPr="00AB7206">
        <w:rPr>
          <w:rFonts w:eastAsia="Calibri" w:cs="Arial"/>
        </w:rPr>
        <w:t xml:space="preserve"> transmission lines in Honduras, Nicaragua, and Panama.</w:t>
      </w:r>
    </w:p>
    <w:p w14:paraId="542CABB3" w14:textId="64D0C249" w:rsidR="00070F75" w:rsidRDefault="00225E7D" w:rsidP="00070F75">
      <w:pPr>
        <w:spacing w:line="240" w:lineRule="auto"/>
        <w:rPr>
          <w:rFonts w:eastAsia="Calibri" w:cs="Arial"/>
        </w:rPr>
      </w:pPr>
      <w:r>
        <w:rPr>
          <w:rFonts w:eastAsia="Calibri" w:cs="Arial"/>
        </w:rPr>
        <w:t xml:space="preserve">More recently, the </w:t>
      </w:r>
      <w:r w:rsidR="00070F75" w:rsidRPr="00847227">
        <w:rPr>
          <w:rFonts w:eastAsia="Calibri" w:cs="Arial"/>
        </w:rPr>
        <w:t>Central America Clean Energy Corridor (CECCA) - a regional initiative facilitated by International Renewable Energy (IRENA), was designed to support the penetration of a greater share of renewable energies in national electrical systems and the regional grid and promote cross-border renewable energy trade (PPA). The CECCA finished his first stage in 2019</w:t>
      </w:r>
      <w:r w:rsidR="00070F75">
        <w:rPr>
          <w:rFonts w:eastAsia="Calibri" w:cs="Arial"/>
        </w:rPr>
        <w:t xml:space="preserve"> and t</w:t>
      </w:r>
      <w:r w:rsidR="00070F75" w:rsidRPr="00847227">
        <w:rPr>
          <w:rFonts w:eastAsia="Calibri" w:cs="Arial"/>
        </w:rPr>
        <w:t>wo key areas were identified as immediate actions</w:t>
      </w:r>
      <w:r w:rsidR="00BA1107">
        <w:rPr>
          <w:rFonts w:eastAsia="Calibri" w:cs="Arial"/>
        </w:rPr>
        <w:t xml:space="preserve">, </w:t>
      </w:r>
      <w:r w:rsidR="00070F75" w:rsidRPr="00847227">
        <w:rPr>
          <w:rFonts w:eastAsia="Calibri" w:cs="Arial"/>
        </w:rPr>
        <w:t>capacity building support in network analysis software</w:t>
      </w:r>
      <w:r>
        <w:rPr>
          <w:rFonts w:eastAsia="Calibri" w:cs="Arial"/>
        </w:rPr>
        <w:t>,</w:t>
      </w:r>
      <w:r w:rsidR="00070F75" w:rsidRPr="00847227">
        <w:rPr>
          <w:rFonts w:eastAsia="Calibri" w:cs="Arial"/>
        </w:rPr>
        <w:t xml:space="preserve"> and advisory support to improve the renewable energy investment climate.</w:t>
      </w:r>
    </w:p>
    <w:p w14:paraId="02401176" w14:textId="634C5EAD" w:rsidR="00225E7D" w:rsidRDefault="00225E7D" w:rsidP="00225E7D">
      <w:pPr>
        <w:spacing w:line="240" w:lineRule="auto"/>
        <w:rPr>
          <w:rFonts w:eastAsia="Calibri" w:cs="Arial"/>
        </w:rPr>
      </w:pPr>
      <w:r w:rsidRPr="00AB7206">
        <w:rPr>
          <w:rFonts w:eastAsia="Calibri" w:cs="Arial"/>
        </w:rPr>
        <w:t>In July 2020, the Guatemala government announced its decision to leave MER because it considers irregularities in fulfilling the treaty and its two protocols</w:t>
      </w:r>
      <w:r w:rsidRPr="00AA13B9">
        <w:rPr>
          <w:rFonts w:eastAsia="Calibri" w:cs="Arial"/>
        </w:rPr>
        <w:t xml:space="preserve">. </w:t>
      </w:r>
      <w:r w:rsidR="00A553D7" w:rsidRPr="00AA13B9">
        <w:rPr>
          <w:rFonts w:eastAsia="Calibri" w:cs="Arial"/>
        </w:rPr>
        <w:t>Its exit, if it were to come to fruition</w:t>
      </w:r>
      <w:r w:rsidRPr="00AA13B9">
        <w:rPr>
          <w:rFonts w:eastAsia="Calibri" w:cs="Arial"/>
        </w:rPr>
        <w:t>, would take10 years, according to the current agreement</w:t>
      </w:r>
      <w:r>
        <w:rPr>
          <w:rFonts w:eastAsia="Calibri" w:cs="Arial"/>
        </w:rPr>
        <w:t>. Several experts interviewed consider that t</w:t>
      </w:r>
      <w:r w:rsidRPr="00AB7206">
        <w:rPr>
          <w:rFonts w:eastAsia="Calibri" w:cs="Arial"/>
        </w:rPr>
        <w:t xml:space="preserve">his decision taken by the Guatemala government is a way to </w:t>
      </w:r>
      <w:r>
        <w:rPr>
          <w:rFonts w:eastAsia="Calibri" w:cs="Arial"/>
        </w:rPr>
        <w:t xml:space="preserve">press for a change in </w:t>
      </w:r>
      <w:r w:rsidRPr="00AB7206">
        <w:rPr>
          <w:rFonts w:eastAsia="Calibri" w:cs="Arial"/>
        </w:rPr>
        <w:t>MER regulations</w:t>
      </w:r>
      <w:r>
        <w:rPr>
          <w:rFonts w:eastAsia="Calibri" w:cs="Arial"/>
        </w:rPr>
        <w:t xml:space="preserve"> to allow for </w:t>
      </w:r>
      <w:r w:rsidRPr="00AB7206">
        <w:rPr>
          <w:rFonts w:eastAsia="Calibri" w:cs="Arial"/>
        </w:rPr>
        <w:t xml:space="preserve">long-term contracts and promote the </w:t>
      </w:r>
      <w:r>
        <w:rPr>
          <w:rFonts w:eastAsia="Calibri" w:cs="Arial"/>
        </w:rPr>
        <w:t xml:space="preserve">completion </w:t>
      </w:r>
      <w:r w:rsidR="001A1DE1" w:rsidRPr="001A1DE1">
        <w:rPr>
          <w:rFonts w:eastAsia="Calibri" w:cs="Arial"/>
        </w:rPr>
        <w:t>of the transmission line and its second circuit</w:t>
      </w:r>
      <w:r w:rsidR="00A43A35">
        <w:rPr>
          <w:rStyle w:val="Refdenotaalpie"/>
          <w:rFonts w:eastAsia="Calibri" w:cs="Arial"/>
        </w:rPr>
        <w:footnoteReference w:id="11"/>
      </w:r>
      <w:r w:rsidRPr="00AB7206">
        <w:rPr>
          <w:rFonts w:eastAsia="Calibri" w:cs="Arial"/>
        </w:rPr>
        <w:t>.</w:t>
      </w:r>
      <w:r w:rsidR="004673CE">
        <w:rPr>
          <w:rFonts w:eastAsia="Calibri" w:cs="Arial"/>
        </w:rPr>
        <w:t xml:space="preserve"> </w:t>
      </w:r>
      <w:r w:rsidR="004673CE" w:rsidRPr="004673CE">
        <w:rPr>
          <w:rFonts w:eastAsia="Calibri" w:cs="Arial"/>
        </w:rPr>
        <w:t>As of December of this year, there are no further communications in this regard</w:t>
      </w:r>
      <w:r w:rsidR="004673CE">
        <w:rPr>
          <w:rFonts w:eastAsia="Calibri" w:cs="Arial"/>
        </w:rPr>
        <w:t>.</w:t>
      </w:r>
    </w:p>
    <w:p w14:paraId="4FA2AA2D" w14:textId="79C178D0" w:rsidR="003A5E9F" w:rsidRPr="00B317D5" w:rsidRDefault="00A725A1" w:rsidP="003425B3">
      <w:pPr>
        <w:spacing w:line="240" w:lineRule="auto"/>
        <w:rPr>
          <w:rFonts w:eastAsia="Calibri" w:cs="Arial"/>
        </w:rPr>
      </w:pPr>
      <w:r>
        <w:rPr>
          <w:rFonts w:eastAsia="Calibri" w:cs="Arial"/>
        </w:rPr>
        <w:t>Regarding other regional agreements, in</w:t>
      </w:r>
      <w:r w:rsidR="00A45CF4">
        <w:rPr>
          <w:rFonts w:eastAsia="Calibri" w:cs="Arial"/>
        </w:rPr>
        <w:t xml:space="preserve"> </w:t>
      </w:r>
      <w:r w:rsidR="00A45CF4" w:rsidRPr="009E5FA4">
        <w:rPr>
          <w:rFonts w:eastAsia="Calibri" w:cs="Arial"/>
        </w:rPr>
        <w:t>February</w:t>
      </w:r>
      <w:r w:rsidR="00225E7D">
        <w:rPr>
          <w:rFonts w:eastAsia="Calibri" w:cs="Arial"/>
        </w:rPr>
        <w:t xml:space="preserve"> 2021</w:t>
      </w:r>
      <w:r>
        <w:rPr>
          <w:rFonts w:eastAsia="Calibri" w:cs="Arial"/>
        </w:rPr>
        <w:t xml:space="preserve"> </w:t>
      </w:r>
      <w:r w:rsidR="00225E7D">
        <w:rPr>
          <w:rFonts w:eastAsia="Calibri" w:cs="Arial"/>
        </w:rPr>
        <w:t>the</w:t>
      </w:r>
      <w:r w:rsidR="00070F75" w:rsidRPr="009E5FA4">
        <w:rPr>
          <w:rFonts w:eastAsia="Calibri" w:cs="Arial"/>
        </w:rPr>
        <w:t xml:space="preserve"> International Energy Agency (IEA) and the Central American Integration System (SICA) signed a Memorandum of Understanding (MoU) to promote clean energy transitions in Central America. They will cooperate on energy data and statistics, energy efficiency and climate resilience of electricity systems as key areas for energy transitions and climate change mitigation in the region under SICA’s Central American 2030 Sustainable Energy Strategy.</w:t>
      </w:r>
    </w:p>
    <w:p w14:paraId="1C6836BD" w14:textId="2C79D2D9" w:rsidR="008F09B0" w:rsidRPr="00472B84" w:rsidRDefault="008F09B0" w:rsidP="00336136">
      <w:pPr>
        <w:pStyle w:val="Ttulo2"/>
        <w:spacing w:before="0" w:line="240" w:lineRule="auto"/>
      </w:pPr>
      <w:bookmarkStart w:id="13" w:name="_Toc90453963"/>
      <w:r w:rsidRPr="00472B84">
        <w:t>The national electricity markets</w:t>
      </w:r>
      <w:bookmarkEnd w:id="13"/>
    </w:p>
    <w:p w14:paraId="1A6A120F" w14:textId="475CB4AE" w:rsidR="00AC66FC" w:rsidRPr="00AB7206" w:rsidRDefault="00AC66FC" w:rsidP="00AC66FC">
      <w:pPr>
        <w:spacing w:line="240" w:lineRule="auto"/>
        <w:rPr>
          <w:rFonts w:eastAsia="Calibri" w:cs="Arial"/>
        </w:rPr>
      </w:pPr>
      <w:r w:rsidRPr="00AB7206">
        <w:rPr>
          <w:rFonts w:eastAsia="Calibri" w:cs="Arial"/>
        </w:rPr>
        <w:t xml:space="preserve">The </w:t>
      </w:r>
      <w:r w:rsidR="0018365F">
        <w:rPr>
          <w:rFonts w:eastAsia="Calibri" w:cs="Arial"/>
        </w:rPr>
        <w:t xml:space="preserve">following </w:t>
      </w:r>
      <w:r w:rsidRPr="00AB7206">
        <w:rPr>
          <w:rFonts w:eastAsia="Calibri" w:cs="Arial"/>
        </w:rPr>
        <w:t xml:space="preserve">table </w:t>
      </w:r>
      <w:r w:rsidR="00123F60">
        <w:rPr>
          <w:rFonts w:eastAsia="Calibri" w:cs="Arial"/>
        </w:rPr>
        <w:t>describes</w:t>
      </w:r>
      <w:r w:rsidRPr="00AB7206">
        <w:rPr>
          <w:rFonts w:eastAsia="Calibri" w:cs="Arial"/>
        </w:rPr>
        <w:t xml:space="preserve"> the</w:t>
      </w:r>
      <w:r w:rsidR="0018365F">
        <w:rPr>
          <w:rFonts w:eastAsia="Calibri" w:cs="Arial"/>
        </w:rPr>
        <w:t xml:space="preserve"> type of</w:t>
      </w:r>
      <w:r w:rsidRPr="00AB7206">
        <w:rPr>
          <w:rFonts w:eastAsia="Calibri" w:cs="Arial"/>
        </w:rPr>
        <w:t xml:space="preserve"> stakeholders participating in the electricity markets of each Central America Count</w:t>
      </w:r>
      <w:r w:rsidR="0018365F">
        <w:rPr>
          <w:rFonts w:eastAsia="Calibri" w:cs="Arial"/>
        </w:rPr>
        <w:t>r</w:t>
      </w:r>
      <w:r w:rsidRPr="00AB7206">
        <w:rPr>
          <w:rFonts w:eastAsia="Calibri" w:cs="Arial"/>
        </w:rPr>
        <w:t>y.</w:t>
      </w:r>
    </w:p>
    <w:p w14:paraId="724393DA" w14:textId="51D6DBF6" w:rsidR="00AC66FC" w:rsidRPr="00AB7206" w:rsidRDefault="00AC66FC" w:rsidP="0018365F">
      <w:pPr>
        <w:keepNext/>
        <w:tabs>
          <w:tab w:val="left" w:pos="7200"/>
        </w:tabs>
        <w:spacing w:line="240" w:lineRule="auto"/>
        <w:jc w:val="center"/>
        <w:rPr>
          <w:rFonts w:eastAsia="Calibri" w:cs="Arial"/>
          <w:sz w:val="18"/>
        </w:rPr>
      </w:pPr>
      <w:bookmarkStart w:id="14" w:name="_Ref79874839"/>
      <w:r w:rsidRPr="00AB7206">
        <w:rPr>
          <w:rFonts w:eastAsia="Calibri" w:cs="Arial"/>
          <w:b/>
          <w:bCs/>
          <w:sz w:val="18"/>
        </w:rPr>
        <w:t xml:space="preserve">Table </w:t>
      </w:r>
      <w:r w:rsidRPr="00AB7206">
        <w:rPr>
          <w:rFonts w:eastAsia="Calibri" w:cs="Arial"/>
          <w:b/>
          <w:bCs/>
          <w:sz w:val="18"/>
        </w:rPr>
        <w:fldChar w:fldCharType="begin"/>
      </w:r>
      <w:r w:rsidRPr="00AB7206">
        <w:rPr>
          <w:rFonts w:eastAsia="Calibri" w:cs="Arial"/>
          <w:b/>
          <w:bCs/>
          <w:sz w:val="18"/>
        </w:rPr>
        <w:instrText xml:space="preserve"> SEQ Table \* ARABIC </w:instrText>
      </w:r>
      <w:r w:rsidRPr="00AB7206">
        <w:rPr>
          <w:rFonts w:eastAsia="Calibri" w:cs="Arial"/>
          <w:b/>
          <w:bCs/>
          <w:sz w:val="18"/>
        </w:rPr>
        <w:fldChar w:fldCharType="separate"/>
      </w:r>
      <w:r w:rsidR="00D054D0">
        <w:rPr>
          <w:rFonts w:eastAsia="Calibri" w:cs="Arial"/>
          <w:b/>
          <w:bCs/>
          <w:noProof/>
          <w:sz w:val="18"/>
        </w:rPr>
        <w:t>8</w:t>
      </w:r>
      <w:r w:rsidRPr="00AB7206">
        <w:rPr>
          <w:rFonts w:eastAsia="Calibri" w:cs="Arial"/>
          <w:b/>
          <w:bCs/>
          <w:sz w:val="18"/>
        </w:rPr>
        <w:fldChar w:fldCharType="end"/>
      </w:r>
      <w:bookmarkEnd w:id="14"/>
      <w:r w:rsidRPr="00AB7206">
        <w:rPr>
          <w:rFonts w:eastAsia="Calibri" w:cs="Arial"/>
          <w:b/>
          <w:bCs/>
          <w:sz w:val="18"/>
        </w:rPr>
        <w:t>.</w:t>
      </w:r>
      <w:r w:rsidRPr="00AB7206">
        <w:rPr>
          <w:rFonts w:eastAsia="Calibri" w:cs="Arial"/>
          <w:sz w:val="18"/>
        </w:rPr>
        <w:t xml:space="preserve"> Electricity Market </w:t>
      </w:r>
      <w:r w:rsidR="00914A6A">
        <w:rPr>
          <w:rFonts w:eastAsia="Calibri" w:cs="Arial"/>
          <w:sz w:val="18"/>
        </w:rPr>
        <w:t xml:space="preserve">Key </w:t>
      </w:r>
      <w:r w:rsidRPr="00AB7206">
        <w:rPr>
          <w:rFonts w:eastAsia="Calibri" w:cs="Arial"/>
          <w:sz w:val="18"/>
        </w:rPr>
        <w:t>Stakeholders by country</w:t>
      </w:r>
    </w:p>
    <w:tbl>
      <w:tblPr>
        <w:tblW w:w="5000" w:type="pct"/>
        <w:tblCellMar>
          <w:left w:w="70" w:type="dxa"/>
          <w:right w:w="70" w:type="dxa"/>
        </w:tblCellMar>
        <w:tblLook w:val="04A0" w:firstRow="1" w:lastRow="0" w:firstColumn="1" w:lastColumn="0" w:noHBand="0" w:noVBand="1"/>
      </w:tblPr>
      <w:tblGrid>
        <w:gridCol w:w="1029"/>
        <w:gridCol w:w="1187"/>
        <w:gridCol w:w="1187"/>
        <w:gridCol w:w="1528"/>
        <w:gridCol w:w="1187"/>
        <w:gridCol w:w="1187"/>
        <w:gridCol w:w="1183"/>
      </w:tblGrid>
      <w:tr w:rsidR="00AC66FC" w:rsidRPr="00AB7206" w14:paraId="7C53FB9B" w14:textId="77777777" w:rsidTr="00B526D8">
        <w:trPr>
          <w:trHeight w:val="410"/>
        </w:trPr>
        <w:tc>
          <w:tcPr>
            <w:tcW w:w="606" w:type="pct"/>
            <w:tcBorders>
              <w:top w:val="single" w:sz="8" w:space="0" w:color="2F75B5"/>
              <w:left w:val="single" w:sz="8" w:space="0" w:color="2F75B5"/>
              <w:bottom w:val="single" w:sz="4" w:space="0" w:color="2F75B5"/>
              <w:right w:val="single" w:sz="4" w:space="0" w:color="2F75B5"/>
            </w:tcBorders>
            <w:shd w:val="clear" w:color="auto" w:fill="4472C4"/>
            <w:vAlign w:val="center"/>
            <w:hideMark/>
          </w:tcPr>
          <w:p w14:paraId="258BFA33" w14:textId="77777777" w:rsidR="00AC66FC" w:rsidRPr="00AB7206" w:rsidRDefault="00AC66FC" w:rsidP="0018365F">
            <w:pPr>
              <w:keepNext/>
              <w:spacing w:line="240" w:lineRule="auto"/>
              <w:jc w:val="center"/>
              <w:rPr>
                <w:rFonts w:ascii="Calibri" w:eastAsia="Times New Roman" w:hAnsi="Calibri" w:cs="Calibri"/>
                <w:b/>
                <w:bCs/>
                <w:color w:val="FFFFFF"/>
                <w:sz w:val="14"/>
                <w:szCs w:val="14"/>
                <w:lang w:eastAsia="es-CR"/>
              </w:rPr>
            </w:pPr>
            <w:r w:rsidRPr="00AB7206">
              <w:rPr>
                <w:rFonts w:ascii="Calibri" w:eastAsia="Times New Roman" w:hAnsi="Calibri" w:cs="Calibri"/>
                <w:b/>
                <w:bCs/>
                <w:color w:val="FFFFFF"/>
                <w:sz w:val="14"/>
                <w:szCs w:val="14"/>
                <w:lang w:eastAsia="es-CR"/>
              </w:rPr>
              <w:t>Country</w:t>
            </w:r>
          </w:p>
        </w:tc>
        <w:tc>
          <w:tcPr>
            <w:tcW w:w="699" w:type="pct"/>
            <w:tcBorders>
              <w:top w:val="single" w:sz="8" w:space="0" w:color="2F75B5"/>
              <w:left w:val="single" w:sz="4" w:space="0" w:color="2F75B5"/>
              <w:bottom w:val="single" w:sz="4" w:space="0" w:color="2F75B5"/>
              <w:right w:val="single" w:sz="4" w:space="0" w:color="2F75B5"/>
            </w:tcBorders>
            <w:shd w:val="clear" w:color="auto" w:fill="4472C4"/>
            <w:noWrap/>
            <w:vAlign w:val="center"/>
            <w:hideMark/>
          </w:tcPr>
          <w:p w14:paraId="060A2E81" w14:textId="77777777" w:rsidR="00AC66FC" w:rsidRPr="00AB7206" w:rsidRDefault="00AC66FC" w:rsidP="0018365F">
            <w:pPr>
              <w:keepNext/>
              <w:spacing w:line="240" w:lineRule="auto"/>
              <w:jc w:val="center"/>
              <w:rPr>
                <w:rFonts w:ascii="Calibri" w:eastAsia="Times New Roman" w:hAnsi="Calibri" w:cs="Calibri"/>
                <w:b/>
                <w:bCs/>
                <w:color w:val="FFFFFF"/>
                <w:sz w:val="14"/>
                <w:szCs w:val="14"/>
                <w:lang w:eastAsia="es-CR"/>
              </w:rPr>
            </w:pPr>
            <w:r w:rsidRPr="00AB7206">
              <w:rPr>
                <w:rFonts w:ascii="Calibri" w:eastAsia="Times New Roman" w:hAnsi="Calibri" w:cs="Calibri"/>
                <w:b/>
                <w:bCs/>
                <w:color w:val="FFFFFF"/>
                <w:sz w:val="14"/>
                <w:szCs w:val="14"/>
                <w:lang w:eastAsia="es-CR"/>
              </w:rPr>
              <w:t>Guatemala</w:t>
            </w:r>
          </w:p>
        </w:tc>
        <w:tc>
          <w:tcPr>
            <w:tcW w:w="699" w:type="pct"/>
            <w:tcBorders>
              <w:top w:val="single" w:sz="8" w:space="0" w:color="2F75B5"/>
              <w:left w:val="single" w:sz="4" w:space="0" w:color="2F75B5"/>
              <w:bottom w:val="single" w:sz="4" w:space="0" w:color="2F75B5"/>
              <w:right w:val="single" w:sz="4" w:space="0" w:color="2F75B5"/>
            </w:tcBorders>
            <w:shd w:val="clear" w:color="auto" w:fill="4472C4"/>
            <w:noWrap/>
            <w:vAlign w:val="center"/>
            <w:hideMark/>
          </w:tcPr>
          <w:p w14:paraId="4FA6B246" w14:textId="77777777" w:rsidR="00AC66FC" w:rsidRPr="00AB7206" w:rsidRDefault="00AC66FC" w:rsidP="0018365F">
            <w:pPr>
              <w:keepNext/>
              <w:spacing w:line="240" w:lineRule="auto"/>
              <w:jc w:val="center"/>
              <w:rPr>
                <w:rFonts w:ascii="Calibri" w:eastAsia="Times New Roman" w:hAnsi="Calibri" w:cs="Calibri"/>
                <w:b/>
                <w:bCs/>
                <w:color w:val="FFFFFF"/>
                <w:sz w:val="14"/>
                <w:szCs w:val="14"/>
                <w:lang w:eastAsia="es-CR"/>
              </w:rPr>
            </w:pPr>
            <w:r w:rsidRPr="00AB7206">
              <w:rPr>
                <w:rFonts w:ascii="Calibri" w:eastAsia="Times New Roman" w:hAnsi="Calibri" w:cs="Calibri"/>
                <w:b/>
                <w:bCs/>
                <w:color w:val="FFFFFF"/>
                <w:sz w:val="14"/>
                <w:szCs w:val="14"/>
                <w:lang w:eastAsia="es-CR"/>
              </w:rPr>
              <w:t>Honduras</w:t>
            </w:r>
          </w:p>
        </w:tc>
        <w:tc>
          <w:tcPr>
            <w:tcW w:w="900" w:type="pct"/>
            <w:tcBorders>
              <w:top w:val="single" w:sz="8" w:space="0" w:color="2F75B5"/>
              <w:left w:val="single" w:sz="4" w:space="0" w:color="2F75B5"/>
              <w:bottom w:val="single" w:sz="4" w:space="0" w:color="2F75B5"/>
              <w:right w:val="single" w:sz="4" w:space="0" w:color="2F75B5"/>
            </w:tcBorders>
            <w:shd w:val="clear" w:color="auto" w:fill="4472C4"/>
            <w:noWrap/>
            <w:vAlign w:val="center"/>
            <w:hideMark/>
          </w:tcPr>
          <w:p w14:paraId="49121619" w14:textId="77777777" w:rsidR="00AC66FC" w:rsidRPr="00AB7206" w:rsidRDefault="00AC66FC" w:rsidP="0018365F">
            <w:pPr>
              <w:keepNext/>
              <w:spacing w:line="240" w:lineRule="auto"/>
              <w:jc w:val="center"/>
              <w:rPr>
                <w:rFonts w:ascii="Calibri" w:eastAsia="Times New Roman" w:hAnsi="Calibri" w:cs="Calibri"/>
                <w:b/>
                <w:bCs/>
                <w:color w:val="FFFFFF"/>
                <w:sz w:val="14"/>
                <w:szCs w:val="14"/>
                <w:lang w:eastAsia="es-CR"/>
              </w:rPr>
            </w:pPr>
            <w:r w:rsidRPr="00AB7206">
              <w:rPr>
                <w:rFonts w:ascii="Calibri" w:eastAsia="Times New Roman" w:hAnsi="Calibri" w:cs="Calibri"/>
                <w:b/>
                <w:bCs/>
                <w:color w:val="FFFFFF"/>
                <w:sz w:val="14"/>
                <w:szCs w:val="14"/>
                <w:lang w:eastAsia="es-CR"/>
              </w:rPr>
              <w:t>El Salvador</w:t>
            </w:r>
          </w:p>
        </w:tc>
        <w:tc>
          <w:tcPr>
            <w:tcW w:w="699" w:type="pct"/>
            <w:tcBorders>
              <w:top w:val="single" w:sz="8" w:space="0" w:color="2F75B5"/>
              <w:left w:val="single" w:sz="4" w:space="0" w:color="2F75B5"/>
              <w:bottom w:val="single" w:sz="4" w:space="0" w:color="2F75B5"/>
              <w:right w:val="single" w:sz="4" w:space="0" w:color="2F75B5"/>
            </w:tcBorders>
            <w:shd w:val="clear" w:color="auto" w:fill="4472C4"/>
            <w:noWrap/>
            <w:vAlign w:val="center"/>
            <w:hideMark/>
          </w:tcPr>
          <w:p w14:paraId="55E6A1C9" w14:textId="77777777" w:rsidR="00AC66FC" w:rsidRPr="00AB7206" w:rsidRDefault="00AC66FC" w:rsidP="0018365F">
            <w:pPr>
              <w:keepNext/>
              <w:spacing w:line="240" w:lineRule="auto"/>
              <w:jc w:val="center"/>
              <w:rPr>
                <w:rFonts w:ascii="Calibri" w:eastAsia="Times New Roman" w:hAnsi="Calibri" w:cs="Calibri"/>
                <w:b/>
                <w:bCs/>
                <w:color w:val="FFFFFF"/>
                <w:sz w:val="14"/>
                <w:szCs w:val="14"/>
                <w:lang w:eastAsia="es-CR"/>
              </w:rPr>
            </w:pPr>
            <w:r w:rsidRPr="00AB7206">
              <w:rPr>
                <w:rFonts w:ascii="Calibri" w:eastAsia="Times New Roman" w:hAnsi="Calibri" w:cs="Calibri"/>
                <w:b/>
                <w:bCs/>
                <w:color w:val="FFFFFF"/>
                <w:sz w:val="14"/>
                <w:szCs w:val="14"/>
                <w:lang w:eastAsia="es-CR"/>
              </w:rPr>
              <w:t>Nicaragua</w:t>
            </w:r>
          </w:p>
        </w:tc>
        <w:tc>
          <w:tcPr>
            <w:tcW w:w="699" w:type="pct"/>
            <w:tcBorders>
              <w:top w:val="single" w:sz="8" w:space="0" w:color="2F75B5"/>
              <w:left w:val="single" w:sz="4" w:space="0" w:color="2F75B5"/>
              <w:bottom w:val="single" w:sz="4" w:space="0" w:color="2F75B5"/>
              <w:right w:val="single" w:sz="4" w:space="0" w:color="2F75B5"/>
            </w:tcBorders>
            <w:shd w:val="clear" w:color="auto" w:fill="4472C4"/>
            <w:noWrap/>
            <w:vAlign w:val="center"/>
            <w:hideMark/>
          </w:tcPr>
          <w:p w14:paraId="0BD97AA8" w14:textId="77777777" w:rsidR="00AC66FC" w:rsidRPr="00AB7206" w:rsidRDefault="00AC66FC" w:rsidP="0018365F">
            <w:pPr>
              <w:keepNext/>
              <w:spacing w:line="240" w:lineRule="auto"/>
              <w:jc w:val="center"/>
              <w:rPr>
                <w:rFonts w:ascii="Calibri" w:eastAsia="Times New Roman" w:hAnsi="Calibri" w:cs="Calibri"/>
                <w:b/>
                <w:bCs/>
                <w:color w:val="FFFFFF"/>
                <w:sz w:val="14"/>
                <w:szCs w:val="14"/>
                <w:lang w:eastAsia="es-CR"/>
              </w:rPr>
            </w:pPr>
            <w:r w:rsidRPr="00AB7206">
              <w:rPr>
                <w:rFonts w:ascii="Calibri" w:eastAsia="Times New Roman" w:hAnsi="Calibri" w:cs="Calibri"/>
                <w:b/>
                <w:bCs/>
                <w:color w:val="FFFFFF"/>
                <w:sz w:val="14"/>
                <w:szCs w:val="14"/>
                <w:lang w:eastAsia="es-CR"/>
              </w:rPr>
              <w:t>Costa Rica</w:t>
            </w:r>
          </w:p>
        </w:tc>
        <w:tc>
          <w:tcPr>
            <w:tcW w:w="697" w:type="pct"/>
            <w:tcBorders>
              <w:top w:val="single" w:sz="8" w:space="0" w:color="2F75B5"/>
              <w:left w:val="single" w:sz="4" w:space="0" w:color="2F75B5"/>
              <w:bottom w:val="single" w:sz="4" w:space="0" w:color="2F75B5"/>
              <w:right w:val="single" w:sz="8" w:space="0" w:color="2F75B5"/>
            </w:tcBorders>
            <w:shd w:val="clear" w:color="auto" w:fill="4472C4"/>
            <w:noWrap/>
            <w:vAlign w:val="center"/>
            <w:hideMark/>
          </w:tcPr>
          <w:p w14:paraId="31434251" w14:textId="77777777" w:rsidR="00AC66FC" w:rsidRPr="00AB7206" w:rsidRDefault="00AC66FC" w:rsidP="0018365F">
            <w:pPr>
              <w:keepNext/>
              <w:spacing w:line="240" w:lineRule="auto"/>
              <w:jc w:val="center"/>
              <w:rPr>
                <w:rFonts w:ascii="Calibri" w:eastAsia="Times New Roman" w:hAnsi="Calibri" w:cs="Calibri"/>
                <w:b/>
                <w:bCs/>
                <w:color w:val="FFFFFF"/>
                <w:sz w:val="14"/>
                <w:szCs w:val="14"/>
                <w:lang w:eastAsia="es-CR"/>
              </w:rPr>
            </w:pPr>
            <w:r w:rsidRPr="00AB7206">
              <w:rPr>
                <w:rFonts w:ascii="Calibri" w:eastAsia="Times New Roman" w:hAnsi="Calibri" w:cs="Calibri"/>
                <w:b/>
                <w:bCs/>
                <w:color w:val="FFFFFF"/>
                <w:sz w:val="14"/>
                <w:szCs w:val="14"/>
                <w:lang w:eastAsia="es-CR"/>
              </w:rPr>
              <w:t>Panama</w:t>
            </w:r>
          </w:p>
        </w:tc>
      </w:tr>
      <w:tr w:rsidR="00AC66FC" w:rsidRPr="00AB7206" w14:paraId="2F2AB677" w14:textId="77777777" w:rsidTr="00B526D8">
        <w:trPr>
          <w:trHeight w:val="355"/>
        </w:trPr>
        <w:tc>
          <w:tcPr>
            <w:tcW w:w="606" w:type="pct"/>
            <w:tcBorders>
              <w:top w:val="single" w:sz="4" w:space="0" w:color="2F75B5"/>
              <w:left w:val="single" w:sz="8" w:space="0" w:color="2F75B5"/>
              <w:bottom w:val="single" w:sz="4" w:space="0" w:color="2F75B5"/>
              <w:right w:val="single" w:sz="4" w:space="0" w:color="2F75B5"/>
            </w:tcBorders>
            <w:shd w:val="clear" w:color="auto" w:fill="D9E1F2"/>
            <w:vAlign w:val="center"/>
            <w:hideMark/>
          </w:tcPr>
          <w:p w14:paraId="3CE875E0" w14:textId="77777777" w:rsidR="00AC66FC" w:rsidRPr="00AB7206" w:rsidRDefault="00AC66FC" w:rsidP="0018365F">
            <w:pPr>
              <w:keepNext/>
              <w:spacing w:line="240" w:lineRule="auto"/>
              <w:jc w:val="center"/>
              <w:rPr>
                <w:rFonts w:ascii="Calibri" w:eastAsia="Times New Roman" w:hAnsi="Calibri" w:cs="Calibri"/>
                <w:color w:val="000000"/>
                <w:sz w:val="14"/>
                <w:szCs w:val="14"/>
                <w:lang w:eastAsia="es-CR"/>
              </w:rPr>
            </w:pPr>
            <w:r w:rsidRPr="00AB7206">
              <w:rPr>
                <w:rFonts w:ascii="Calibri" w:eastAsia="Times New Roman" w:hAnsi="Calibri" w:cs="Calibri"/>
                <w:color w:val="000000"/>
                <w:sz w:val="14"/>
                <w:szCs w:val="14"/>
                <w:lang w:eastAsia="es-CR"/>
              </w:rPr>
              <w:t>Market Electricity</w:t>
            </w:r>
          </w:p>
        </w:tc>
        <w:tc>
          <w:tcPr>
            <w:tcW w:w="699" w:type="pct"/>
            <w:tcBorders>
              <w:top w:val="single" w:sz="4" w:space="0" w:color="2F75B5"/>
              <w:left w:val="single" w:sz="4" w:space="0" w:color="2F75B5"/>
              <w:bottom w:val="single" w:sz="4" w:space="0" w:color="2F75B5"/>
              <w:right w:val="single" w:sz="4" w:space="0" w:color="2F75B5"/>
            </w:tcBorders>
            <w:shd w:val="clear" w:color="auto" w:fill="D9E1F2"/>
            <w:vAlign w:val="center"/>
            <w:hideMark/>
          </w:tcPr>
          <w:p w14:paraId="3CFEE2EC" w14:textId="77777777" w:rsidR="00AC66FC" w:rsidRPr="00AB7206" w:rsidRDefault="00AC66FC" w:rsidP="0018365F">
            <w:pPr>
              <w:keepNext/>
              <w:spacing w:line="240" w:lineRule="auto"/>
              <w:jc w:val="center"/>
              <w:rPr>
                <w:rFonts w:ascii="Calibri" w:eastAsia="Times New Roman" w:hAnsi="Calibri" w:cs="Calibri"/>
                <w:color w:val="000000"/>
                <w:sz w:val="14"/>
                <w:szCs w:val="14"/>
                <w:lang w:eastAsia="es-CR"/>
              </w:rPr>
            </w:pPr>
            <w:r w:rsidRPr="00AB7206">
              <w:rPr>
                <w:rFonts w:ascii="Calibri" w:eastAsia="Times New Roman" w:hAnsi="Calibri" w:cs="Calibri"/>
                <w:color w:val="000000"/>
                <w:sz w:val="14"/>
                <w:szCs w:val="14"/>
                <w:lang w:eastAsia="es-CR"/>
              </w:rPr>
              <w:t>Wholesale</w:t>
            </w:r>
          </w:p>
        </w:tc>
        <w:tc>
          <w:tcPr>
            <w:tcW w:w="699" w:type="pct"/>
            <w:tcBorders>
              <w:top w:val="single" w:sz="4" w:space="0" w:color="2F75B5"/>
              <w:left w:val="single" w:sz="4" w:space="0" w:color="2F75B5"/>
              <w:bottom w:val="single" w:sz="4" w:space="0" w:color="2F75B5"/>
              <w:right w:val="single" w:sz="4" w:space="0" w:color="2F75B5"/>
            </w:tcBorders>
            <w:shd w:val="clear" w:color="auto" w:fill="D9E1F2"/>
            <w:noWrap/>
            <w:vAlign w:val="center"/>
            <w:hideMark/>
          </w:tcPr>
          <w:p w14:paraId="19545BB1" w14:textId="77777777" w:rsidR="00AC66FC" w:rsidRPr="00AB7206" w:rsidRDefault="00AC66FC" w:rsidP="0018365F">
            <w:pPr>
              <w:keepNext/>
              <w:spacing w:line="240" w:lineRule="auto"/>
              <w:jc w:val="center"/>
              <w:rPr>
                <w:rFonts w:ascii="Calibri" w:eastAsia="Times New Roman" w:hAnsi="Calibri" w:cs="Calibri"/>
                <w:color w:val="000000"/>
                <w:sz w:val="14"/>
                <w:szCs w:val="14"/>
                <w:lang w:eastAsia="es-CR"/>
              </w:rPr>
            </w:pPr>
            <w:r w:rsidRPr="00AB7206">
              <w:rPr>
                <w:rFonts w:ascii="Calibri" w:eastAsia="Times New Roman" w:hAnsi="Calibri" w:cs="Calibri"/>
                <w:color w:val="000000"/>
                <w:sz w:val="14"/>
                <w:szCs w:val="14"/>
                <w:lang w:eastAsia="es-CR"/>
              </w:rPr>
              <w:t>Monopoly</w:t>
            </w:r>
          </w:p>
        </w:tc>
        <w:tc>
          <w:tcPr>
            <w:tcW w:w="900" w:type="pct"/>
            <w:tcBorders>
              <w:top w:val="single" w:sz="4" w:space="0" w:color="2F75B5"/>
              <w:left w:val="single" w:sz="4" w:space="0" w:color="2F75B5"/>
              <w:bottom w:val="single" w:sz="4" w:space="0" w:color="2F75B5"/>
              <w:right w:val="single" w:sz="4" w:space="0" w:color="2F75B5"/>
            </w:tcBorders>
            <w:shd w:val="clear" w:color="auto" w:fill="D9E1F2"/>
            <w:vAlign w:val="center"/>
            <w:hideMark/>
          </w:tcPr>
          <w:p w14:paraId="544E549D" w14:textId="77777777" w:rsidR="00AC66FC" w:rsidRPr="00AB7206" w:rsidRDefault="00AC66FC" w:rsidP="0018365F">
            <w:pPr>
              <w:keepNext/>
              <w:spacing w:line="240" w:lineRule="auto"/>
              <w:jc w:val="center"/>
              <w:rPr>
                <w:rFonts w:ascii="Calibri" w:eastAsia="Times New Roman" w:hAnsi="Calibri" w:cs="Calibri"/>
                <w:color w:val="000000"/>
                <w:sz w:val="14"/>
                <w:szCs w:val="14"/>
                <w:lang w:eastAsia="es-CR"/>
              </w:rPr>
            </w:pPr>
            <w:r w:rsidRPr="00AB7206">
              <w:rPr>
                <w:rFonts w:ascii="Calibri" w:eastAsia="Times New Roman" w:hAnsi="Calibri" w:cs="Calibri"/>
                <w:color w:val="000000"/>
                <w:sz w:val="14"/>
                <w:szCs w:val="14"/>
                <w:lang w:eastAsia="es-CR"/>
              </w:rPr>
              <w:t>Wholesale</w:t>
            </w:r>
          </w:p>
        </w:tc>
        <w:tc>
          <w:tcPr>
            <w:tcW w:w="699" w:type="pct"/>
            <w:tcBorders>
              <w:top w:val="single" w:sz="4" w:space="0" w:color="2F75B5"/>
              <w:left w:val="single" w:sz="4" w:space="0" w:color="2F75B5"/>
              <w:bottom w:val="single" w:sz="4" w:space="0" w:color="2F75B5"/>
              <w:right w:val="single" w:sz="4" w:space="0" w:color="2F75B5"/>
            </w:tcBorders>
            <w:shd w:val="clear" w:color="auto" w:fill="D9E1F2"/>
            <w:vAlign w:val="center"/>
            <w:hideMark/>
          </w:tcPr>
          <w:p w14:paraId="5C10F788" w14:textId="77777777" w:rsidR="00AC66FC" w:rsidRPr="00AB7206" w:rsidRDefault="00AC66FC" w:rsidP="0018365F">
            <w:pPr>
              <w:keepNext/>
              <w:spacing w:line="240" w:lineRule="auto"/>
              <w:jc w:val="center"/>
              <w:rPr>
                <w:rFonts w:ascii="Calibri" w:eastAsia="Times New Roman" w:hAnsi="Calibri" w:cs="Calibri"/>
                <w:color w:val="000000"/>
                <w:sz w:val="14"/>
                <w:szCs w:val="14"/>
                <w:lang w:eastAsia="es-CR"/>
              </w:rPr>
            </w:pPr>
            <w:r w:rsidRPr="00AB7206">
              <w:rPr>
                <w:rFonts w:ascii="Calibri" w:eastAsia="Times New Roman" w:hAnsi="Calibri" w:cs="Calibri"/>
                <w:color w:val="000000"/>
                <w:sz w:val="14"/>
                <w:szCs w:val="14"/>
                <w:lang w:eastAsia="es-CR"/>
              </w:rPr>
              <w:t>Wholesale</w:t>
            </w:r>
          </w:p>
        </w:tc>
        <w:tc>
          <w:tcPr>
            <w:tcW w:w="699" w:type="pct"/>
            <w:tcBorders>
              <w:top w:val="single" w:sz="4" w:space="0" w:color="2F75B5"/>
              <w:left w:val="single" w:sz="4" w:space="0" w:color="2F75B5"/>
              <w:bottom w:val="single" w:sz="4" w:space="0" w:color="2F75B5"/>
              <w:right w:val="single" w:sz="4" w:space="0" w:color="2F75B5"/>
            </w:tcBorders>
            <w:shd w:val="clear" w:color="auto" w:fill="D9E1F2"/>
            <w:noWrap/>
            <w:vAlign w:val="center"/>
            <w:hideMark/>
          </w:tcPr>
          <w:p w14:paraId="11F4F6D9" w14:textId="77777777" w:rsidR="00AC66FC" w:rsidRPr="00AB7206" w:rsidRDefault="00AC66FC" w:rsidP="0018365F">
            <w:pPr>
              <w:keepNext/>
              <w:spacing w:line="240" w:lineRule="auto"/>
              <w:jc w:val="center"/>
              <w:rPr>
                <w:rFonts w:ascii="Calibri" w:eastAsia="Times New Roman" w:hAnsi="Calibri" w:cs="Calibri"/>
                <w:color w:val="000000"/>
                <w:sz w:val="14"/>
                <w:szCs w:val="14"/>
                <w:lang w:eastAsia="es-CR"/>
              </w:rPr>
            </w:pPr>
            <w:r w:rsidRPr="00AB7206">
              <w:rPr>
                <w:rFonts w:ascii="Calibri" w:eastAsia="Times New Roman" w:hAnsi="Calibri" w:cs="Calibri"/>
                <w:color w:val="000000"/>
                <w:sz w:val="14"/>
                <w:szCs w:val="14"/>
                <w:lang w:eastAsia="es-CR"/>
              </w:rPr>
              <w:t>Monopoly</w:t>
            </w:r>
          </w:p>
        </w:tc>
        <w:tc>
          <w:tcPr>
            <w:tcW w:w="697" w:type="pct"/>
            <w:tcBorders>
              <w:top w:val="single" w:sz="4" w:space="0" w:color="2F75B5"/>
              <w:left w:val="single" w:sz="4" w:space="0" w:color="2F75B5"/>
              <w:bottom w:val="single" w:sz="4" w:space="0" w:color="2F75B5"/>
              <w:right w:val="single" w:sz="8" w:space="0" w:color="2F75B5"/>
            </w:tcBorders>
            <w:shd w:val="clear" w:color="auto" w:fill="D9E1F2"/>
            <w:vAlign w:val="center"/>
            <w:hideMark/>
          </w:tcPr>
          <w:p w14:paraId="7DAE9F85" w14:textId="77777777" w:rsidR="00AC66FC" w:rsidRPr="00AB7206" w:rsidRDefault="00AC66FC" w:rsidP="0018365F">
            <w:pPr>
              <w:keepNext/>
              <w:spacing w:line="240" w:lineRule="auto"/>
              <w:jc w:val="center"/>
              <w:rPr>
                <w:rFonts w:ascii="Calibri" w:eastAsia="Times New Roman" w:hAnsi="Calibri" w:cs="Calibri"/>
                <w:color w:val="000000"/>
                <w:sz w:val="14"/>
                <w:szCs w:val="14"/>
                <w:lang w:eastAsia="es-CR"/>
              </w:rPr>
            </w:pPr>
            <w:r w:rsidRPr="00AB7206">
              <w:rPr>
                <w:rFonts w:ascii="Calibri" w:eastAsia="Times New Roman" w:hAnsi="Calibri" w:cs="Calibri"/>
                <w:color w:val="000000"/>
                <w:sz w:val="14"/>
                <w:szCs w:val="14"/>
                <w:lang w:eastAsia="es-CR"/>
              </w:rPr>
              <w:t>Wholesale</w:t>
            </w:r>
          </w:p>
        </w:tc>
      </w:tr>
      <w:tr w:rsidR="00AC66FC" w:rsidRPr="00AB7206" w14:paraId="77CBA271" w14:textId="77777777" w:rsidTr="00B526D8">
        <w:trPr>
          <w:trHeight w:val="1247"/>
        </w:trPr>
        <w:tc>
          <w:tcPr>
            <w:tcW w:w="606" w:type="pct"/>
            <w:tcBorders>
              <w:top w:val="single" w:sz="4" w:space="0" w:color="2F75B5"/>
              <w:left w:val="single" w:sz="8" w:space="0" w:color="2F75B5"/>
              <w:bottom w:val="single" w:sz="4" w:space="0" w:color="2F75B5"/>
              <w:right w:val="single" w:sz="4" w:space="0" w:color="2F75B5"/>
            </w:tcBorders>
            <w:vAlign w:val="center"/>
            <w:hideMark/>
          </w:tcPr>
          <w:p w14:paraId="14A6C488" w14:textId="77777777" w:rsidR="00AC66FC" w:rsidRPr="00AB7206" w:rsidRDefault="00AC66FC" w:rsidP="0018365F">
            <w:pPr>
              <w:keepNext/>
              <w:spacing w:line="240" w:lineRule="auto"/>
              <w:jc w:val="center"/>
              <w:rPr>
                <w:rFonts w:ascii="Calibri" w:eastAsia="Times New Roman" w:hAnsi="Calibri" w:cs="Calibri"/>
                <w:color w:val="000000"/>
                <w:sz w:val="14"/>
                <w:szCs w:val="14"/>
                <w:lang w:eastAsia="es-CR"/>
              </w:rPr>
            </w:pPr>
            <w:r w:rsidRPr="00AB7206">
              <w:rPr>
                <w:rFonts w:ascii="Calibri" w:eastAsia="Times New Roman" w:hAnsi="Calibri" w:cs="Calibri"/>
                <w:color w:val="000000"/>
                <w:sz w:val="14"/>
                <w:szCs w:val="14"/>
                <w:lang w:eastAsia="es-CR"/>
              </w:rPr>
              <w:t>Electricity Sector Authority</w:t>
            </w:r>
          </w:p>
        </w:tc>
        <w:tc>
          <w:tcPr>
            <w:tcW w:w="699" w:type="pct"/>
            <w:tcBorders>
              <w:top w:val="single" w:sz="4" w:space="0" w:color="2F75B5"/>
              <w:left w:val="single" w:sz="4" w:space="0" w:color="2F75B5"/>
              <w:bottom w:val="single" w:sz="4" w:space="0" w:color="2F75B5"/>
              <w:right w:val="single" w:sz="4" w:space="0" w:color="2F75B5"/>
            </w:tcBorders>
            <w:vAlign w:val="center"/>
            <w:hideMark/>
          </w:tcPr>
          <w:p w14:paraId="5CCE4BF4" w14:textId="77777777" w:rsidR="00AC66FC" w:rsidRPr="00AB7206" w:rsidRDefault="00AC66FC" w:rsidP="0018365F">
            <w:pPr>
              <w:keepNext/>
              <w:spacing w:line="240" w:lineRule="auto"/>
              <w:jc w:val="center"/>
              <w:rPr>
                <w:rFonts w:ascii="Calibri" w:eastAsia="Times New Roman" w:hAnsi="Calibri" w:cs="Calibri"/>
                <w:color w:val="000000"/>
                <w:sz w:val="14"/>
                <w:szCs w:val="14"/>
                <w:lang w:eastAsia="es-CR"/>
              </w:rPr>
            </w:pPr>
            <w:r w:rsidRPr="00AB7206">
              <w:rPr>
                <w:rFonts w:ascii="Calibri" w:eastAsia="Times New Roman" w:hAnsi="Calibri" w:cs="Calibri"/>
                <w:color w:val="000000"/>
                <w:sz w:val="14"/>
                <w:szCs w:val="14"/>
                <w:lang w:eastAsia="es-CR"/>
              </w:rPr>
              <w:t>Ministry of Energy and Mines (MEM)</w:t>
            </w:r>
            <w:r w:rsidRPr="00AB7206">
              <w:rPr>
                <w:rFonts w:ascii="Calibri" w:eastAsia="Times New Roman" w:hAnsi="Calibri" w:cs="Calibri"/>
                <w:color w:val="000000"/>
                <w:sz w:val="14"/>
                <w:szCs w:val="14"/>
                <w:lang w:eastAsia="es-CR"/>
              </w:rPr>
              <w:br/>
              <w:t>General Directorate of Energy</w:t>
            </w:r>
          </w:p>
        </w:tc>
        <w:tc>
          <w:tcPr>
            <w:tcW w:w="699" w:type="pct"/>
            <w:tcBorders>
              <w:top w:val="single" w:sz="4" w:space="0" w:color="2F75B5"/>
              <w:left w:val="single" w:sz="4" w:space="0" w:color="2F75B5"/>
              <w:bottom w:val="single" w:sz="4" w:space="0" w:color="2F75B5"/>
              <w:right w:val="single" w:sz="4" w:space="0" w:color="2F75B5"/>
            </w:tcBorders>
            <w:vAlign w:val="center"/>
            <w:hideMark/>
          </w:tcPr>
          <w:p w14:paraId="7144B278" w14:textId="77777777" w:rsidR="00AC66FC" w:rsidRPr="00AB7206" w:rsidRDefault="00AC66FC" w:rsidP="0018365F">
            <w:pPr>
              <w:keepNext/>
              <w:spacing w:line="240" w:lineRule="auto"/>
              <w:jc w:val="center"/>
              <w:rPr>
                <w:rFonts w:ascii="Calibri" w:eastAsia="Times New Roman" w:hAnsi="Calibri" w:cs="Calibri"/>
                <w:color w:val="000000"/>
                <w:sz w:val="14"/>
                <w:szCs w:val="14"/>
                <w:lang w:eastAsia="es-CR"/>
              </w:rPr>
            </w:pPr>
            <w:r w:rsidRPr="00AB7206">
              <w:rPr>
                <w:rFonts w:ascii="Calibri" w:eastAsia="Times New Roman" w:hAnsi="Calibri" w:cs="Calibri"/>
                <w:color w:val="000000"/>
                <w:sz w:val="14"/>
                <w:szCs w:val="14"/>
                <w:lang w:eastAsia="es-CR"/>
              </w:rPr>
              <w:t xml:space="preserve">Secretariat of Energy </w:t>
            </w:r>
            <w:r w:rsidRPr="00AB7206">
              <w:rPr>
                <w:rFonts w:ascii="Calibri" w:eastAsia="Times New Roman" w:hAnsi="Calibri" w:cs="Calibri"/>
                <w:color w:val="000000"/>
                <w:sz w:val="14"/>
                <w:szCs w:val="14"/>
                <w:lang w:eastAsia="es-CR"/>
              </w:rPr>
              <w:br/>
              <w:t>General Directorate of Electricity and Markets</w:t>
            </w:r>
          </w:p>
        </w:tc>
        <w:tc>
          <w:tcPr>
            <w:tcW w:w="900" w:type="pct"/>
            <w:tcBorders>
              <w:top w:val="single" w:sz="4" w:space="0" w:color="2F75B5"/>
              <w:left w:val="single" w:sz="4" w:space="0" w:color="2F75B5"/>
              <w:bottom w:val="single" w:sz="4" w:space="0" w:color="2F75B5"/>
              <w:right w:val="single" w:sz="4" w:space="0" w:color="2F75B5"/>
            </w:tcBorders>
            <w:vAlign w:val="center"/>
            <w:hideMark/>
          </w:tcPr>
          <w:p w14:paraId="737F95D5" w14:textId="77777777" w:rsidR="00AC66FC" w:rsidRPr="00CB4732" w:rsidRDefault="00AC66FC" w:rsidP="0018365F">
            <w:pPr>
              <w:keepNext/>
              <w:spacing w:line="240" w:lineRule="auto"/>
              <w:jc w:val="center"/>
              <w:rPr>
                <w:rFonts w:ascii="Calibri" w:eastAsia="Times New Roman" w:hAnsi="Calibri" w:cs="Calibri"/>
                <w:color w:val="000000"/>
                <w:sz w:val="14"/>
                <w:szCs w:val="14"/>
                <w:lang w:val="es-CR" w:eastAsia="es-CR"/>
              </w:rPr>
            </w:pPr>
            <w:r w:rsidRPr="00CB4732">
              <w:rPr>
                <w:rFonts w:ascii="Calibri" w:eastAsia="Times New Roman" w:hAnsi="Calibri" w:cs="Calibri"/>
                <w:color w:val="000000"/>
                <w:sz w:val="14"/>
                <w:szCs w:val="14"/>
                <w:lang w:val="es-CR" w:eastAsia="es-CR"/>
              </w:rPr>
              <w:t>El Salvador National Energy Council (CNE)</w:t>
            </w:r>
          </w:p>
        </w:tc>
        <w:tc>
          <w:tcPr>
            <w:tcW w:w="699" w:type="pct"/>
            <w:tcBorders>
              <w:top w:val="single" w:sz="4" w:space="0" w:color="2F75B5"/>
              <w:left w:val="single" w:sz="4" w:space="0" w:color="2F75B5"/>
              <w:bottom w:val="single" w:sz="4" w:space="0" w:color="2F75B5"/>
              <w:right w:val="single" w:sz="4" w:space="0" w:color="2F75B5"/>
            </w:tcBorders>
            <w:vAlign w:val="center"/>
            <w:hideMark/>
          </w:tcPr>
          <w:p w14:paraId="00A4107B" w14:textId="77777777" w:rsidR="00AC66FC" w:rsidRPr="00AB7206" w:rsidRDefault="00AC66FC" w:rsidP="0018365F">
            <w:pPr>
              <w:keepNext/>
              <w:spacing w:line="240" w:lineRule="auto"/>
              <w:jc w:val="center"/>
              <w:rPr>
                <w:rFonts w:ascii="Calibri" w:eastAsia="Times New Roman" w:hAnsi="Calibri" w:cs="Calibri"/>
                <w:color w:val="000000"/>
                <w:sz w:val="14"/>
                <w:szCs w:val="14"/>
                <w:lang w:eastAsia="es-CR"/>
              </w:rPr>
            </w:pPr>
            <w:r w:rsidRPr="00AB7206">
              <w:rPr>
                <w:rFonts w:ascii="Calibri" w:eastAsia="Times New Roman" w:hAnsi="Calibri" w:cs="Calibri"/>
                <w:color w:val="000000"/>
                <w:sz w:val="14"/>
                <w:szCs w:val="14"/>
                <w:lang w:eastAsia="es-CR"/>
              </w:rPr>
              <w:t>Ministry of Energy and Mines (MEM)</w:t>
            </w:r>
            <w:r w:rsidRPr="00AB7206">
              <w:rPr>
                <w:rFonts w:ascii="Calibri" w:eastAsia="Times New Roman" w:hAnsi="Calibri" w:cs="Calibri"/>
                <w:color w:val="000000"/>
                <w:sz w:val="14"/>
                <w:szCs w:val="14"/>
                <w:lang w:eastAsia="es-CR"/>
              </w:rPr>
              <w:br/>
              <w:t xml:space="preserve">Electricity Market and Renewable Resources General Directorate </w:t>
            </w:r>
          </w:p>
        </w:tc>
        <w:tc>
          <w:tcPr>
            <w:tcW w:w="699" w:type="pct"/>
            <w:tcBorders>
              <w:top w:val="single" w:sz="4" w:space="0" w:color="2F75B5"/>
              <w:left w:val="single" w:sz="4" w:space="0" w:color="2F75B5"/>
              <w:bottom w:val="single" w:sz="4" w:space="0" w:color="2F75B5"/>
              <w:right w:val="single" w:sz="4" w:space="0" w:color="2F75B5"/>
            </w:tcBorders>
            <w:vAlign w:val="center"/>
            <w:hideMark/>
          </w:tcPr>
          <w:p w14:paraId="3118FB27" w14:textId="77777777" w:rsidR="00AC66FC" w:rsidRPr="00AB7206" w:rsidRDefault="00AC66FC" w:rsidP="0018365F">
            <w:pPr>
              <w:keepNext/>
              <w:spacing w:line="240" w:lineRule="auto"/>
              <w:jc w:val="center"/>
              <w:rPr>
                <w:rFonts w:ascii="Calibri" w:eastAsia="Times New Roman" w:hAnsi="Calibri" w:cs="Calibri"/>
                <w:color w:val="000000"/>
                <w:sz w:val="14"/>
                <w:szCs w:val="14"/>
                <w:lang w:eastAsia="es-CR"/>
              </w:rPr>
            </w:pPr>
            <w:r w:rsidRPr="00AB7206">
              <w:rPr>
                <w:rFonts w:ascii="Calibri" w:eastAsia="Times New Roman" w:hAnsi="Calibri" w:cs="Calibri"/>
                <w:color w:val="000000"/>
                <w:sz w:val="14"/>
                <w:szCs w:val="14"/>
                <w:lang w:eastAsia="es-CR"/>
              </w:rPr>
              <w:t>Ministry of Energy and Mines (MINAE)</w:t>
            </w:r>
            <w:r w:rsidRPr="00AB7206">
              <w:rPr>
                <w:rFonts w:ascii="Calibri" w:eastAsia="Times New Roman" w:hAnsi="Calibri" w:cs="Calibri"/>
                <w:color w:val="000000"/>
                <w:sz w:val="14"/>
                <w:szCs w:val="14"/>
                <w:lang w:eastAsia="es-CR"/>
              </w:rPr>
              <w:br/>
              <w:t>Energy Directorate</w:t>
            </w:r>
          </w:p>
        </w:tc>
        <w:tc>
          <w:tcPr>
            <w:tcW w:w="697" w:type="pct"/>
            <w:tcBorders>
              <w:top w:val="single" w:sz="4" w:space="0" w:color="2F75B5"/>
              <w:left w:val="single" w:sz="4" w:space="0" w:color="2F75B5"/>
              <w:bottom w:val="single" w:sz="4" w:space="0" w:color="2F75B5"/>
              <w:right w:val="single" w:sz="8" w:space="0" w:color="2F75B5"/>
            </w:tcBorders>
            <w:vAlign w:val="center"/>
            <w:hideMark/>
          </w:tcPr>
          <w:p w14:paraId="2667D10D" w14:textId="77777777" w:rsidR="00AC66FC" w:rsidRPr="00AB7206" w:rsidRDefault="00AC66FC" w:rsidP="0018365F">
            <w:pPr>
              <w:keepNext/>
              <w:spacing w:line="240" w:lineRule="auto"/>
              <w:jc w:val="center"/>
              <w:rPr>
                <w:rFonts w:ascii="Calibri" w:eastAsia="Times New Roman" w:hAnsi="Calibri" w:cs="Calibri"/>
                <w:color w:val="000000"/>
                <w:sz w:val="14"/>
                <w:szCs w:val="14"/>
                <w:lang w:eastAsia="es-CR"/>
              </w:rPr>
            </w:pPr>
            <w:r w:rsidRPr="00AB7206">
              <w:rPr>
                <w:rFonts w:ascii="Calibri" w:eastAsia="Times New Roman" w:hAnsi="Calibri" w:cs="Calibri"/>
                <w:color w:val="000000"/>
                <w:sz w:val="14"/>
                <w:szCs w:val="14"/>
                <w:lang w:eastAsia="es-CR"/>
              </w:rPr>
              <w:t>National Secretariat of Energy</w:t>
            </w:r>
          </w:p>
        </w:tc>
      </w:tr>
      <w:tr w:rsidR="00AC66FC" w:rsidRPr="00CF6A8F" w14:paraId="7E636B6E" w14:textId="77777777" w:rsidTr="00B526D8">
        <w:trPr>
          <w:trHeight w:val="624"/>
        </w:trPr>
        <w:tc>
          <w:tcPr>
            <w:tcW w:w="606" w:type="pct"/>
            <w:tcBorders>
              <w:top w:val="single" w:sz="4" w:space="0" w:color="2F75B5"/>
              <w:left w:val="single" w:sz="8" w:space="0" w:color="2F75B5"/>
              <w:bottom w:val="single" w:sz="4" w:space="0" w:color="2F75B5"/>
              <w:right w:val="single" w:sz="4" w:space="0" w:color="2F75B5"/>
            </w:tcBorders>
            <w:shd w:val="clear" w:color="auto" w:fill="D9E1F2"/>
            <w:vAlign w:val="center"/>
            <w:hideMark/>
          </w:tcPr>
          <w:p w14:paraId="5A23D2E1" w14:textId="77777777" w:rsidR="00AC66FC" w:rsidRPr="00AB7206" w:rsidRDefault="00AC66FC" w:rsidP="0018365F">
            <w:pPr>
              <w:keepNext/>
              <w:spacing w:line="240" w:lineRule="auto"/>
              <w:jc w:val="center"/>
              <w:rPr>
                <w:rFonts w:ascii="Calibri" w:eastAsia="Times New Roman" w:hAnsi="Calibri" w:cs="Calibri"/>
                <w:color w:val="000000"/>
                <w:sz w:val="14"/>
                <w:szCs w:val="14"/>
                <w:lang w:eastAsia="es-CR"/>
              </w:rPr>
            </w:pPr>
            <w:r w:rsidRPr="00AB7206">
              <w:rPr>
                <w:rFonts w:ascii="Calibri" w:eastAsia="Times New Roman" w:hAnsi="Calibri" w:cs="Calibri"/>
                <w:color w:val="000000"/>
                <w:sz w:val="14"/>
                <w:szCs w:val="14"/>
                <w:lang w:eastAsia="es-CR"/>
              </w:rPr>
              <w:t>Market operator and administrator</w:t>
            </w:r>
          </w:p>
        </w:tc>
        <w:tc>
          <w:tcPr>
            <w:tcW w:w="699" w:type="pct"/>
            <w:tcBorders>
              <w:top w:val="single" w:sz="4" w:space="0" w:color="2F75B5"/>
              <w:left w:val="single" w:sz="4" w:space="0" w:color="2F75B5"/>
              <w:bottom w:val="single" w:sz="4" w:space="0" w:color="2F75B5"/>
              <w:right w:val="single" w:sz="4" w:space="0" w:color="2F75B5"/>
            </w:tcBorders>
            <w:shd w:val="clear" w:color="auto" w:fill="D9E1F2"/>
            <w:vAlign w:val="center"/>
            <w:hideMark/>
          </w:tcPr>
          <w:p w14:paraId="2B5DF3B5" w14:textId="77777777" w:rsidR="00AC66FC" w:rsidRPr="00AB7206" w:rsidRDefault="00AC66FC" w:rsidP="0018365F">
            <w:pPr>
              <w:keepNext/>
              <w:spacing w:line="240" w:lineRule="auto"/>
              <w:jc w:val="center"/>
              <w:rPr>
                <w:rFonts w:ascii="Calibri" w:eastAsia="Times New Roman" w:hAnsi="Calibri" w:cs="Calibri"/>
                <w:color w:val="000000"/>
                <w:sz w:val="14"/>
                <w:szCs w:val="14"/>
                <w:lang w:eastAsia="es-CR"/>
              </w:rPr>
            </w:pPr>
            <w:r w:rsidRPr="00AB7206">
              <w:rPr>
                <w:rFonts w:ascii="Calibri" w:eastAsia="Times New Roman" w:hAnsi="Calibri" w:cs="Calibri"/>
                <w:color w:val="000000"/>
                <w:sz w:val="14"/>
                <w:szCs w:val="14"/>
                <w:lang w:eastAsia="es-CR"/>
              </w:rPr>
              <w:t>Wholesale Market Administrator (AMM)</w:t>
            </w:r>
          </w:p>
        </w:tc>
        <w:tc>
          <w:tcPr>
            <w:tcW w:w="699" w:type="pct"/>
            <w:tcBorders>
              <w:top w:val="single" w:sz="4" w:space="0" w:color="2F75B5"/>
              <w:left w:val="single" w:sz="4" w:space="0" w:color="2F75B5"/>
              <w:bottom w:val="single" w:sz="4" w:space="0" w:color="2F75B5"/>
              <w:right w:val="single" w:sz="4" w:space="0" w:color="2F75B5"/>
            </w:tcBorders>
            <w:shd w:val="clear" w:color="auto" w:fill="D9E1F2"/>
            <w:vAlign w:val="center"/>
            <w:hideMark/>
          </w:tcPr>
          <w:p w14:paraId="4E5B24CB" w14:textId="77777777" w:rsidR="00AC66FC" w:rsidRPr="00AB7206" w:rsidRDefault="00AC66FC" w:rsidP="0018365F">
            <w:pPr>
              <w:keepNext/>
              <w:spacing w:line="240" w:lineRule="auto"/>
              <w:jc w:val="center"/>
              <w:rPr>
                <w:rFonts w:ascii="Calibri" w:eastAsia="Times New Roman" w:hAnsi="Calibri" w:cs="Calibri"/>
                <w:color w:val="000000"/>
                <w:sz w:val="14"/>
                <w:szCs w:val="14"/>
                <w:lang w:eastAsia="es-CR"/>
              </w:rPr>
            </w:pPr>
            <w:r w:rsidRPr="00AB7206">
              <w:rPr>
                <w:rFonts w:ascii="Calibri" w:eastAsia="Times New Roman" w:hAnsi="Calibri" w:cs="Calibri"/>
                <w:color w:val="000000"/>
                <w:sz w:val="14"/>
                <w:szCs w:val="14"/>
                <w:lang w:eastAsia="es-CR"/>
              </w:rPr>
              <w:t>National Electrical Energy Company (ENEE)</w:t>
            </w:r>
          </w:p>
        </w:tc>
        <w:tc>
          <w:tcPr>
            <w:tcW w:w="900" w:type="pct"/>
            <w:tcBorders>
              <w:top w:val="single" w:sz="4" w:space="0" w:color="2F75B5"/>
              <w:left w:val="single" w:sz="4" w:space="0" w:color="2F75B5"/>
              <w:bottom w:val="single" w:sz="4" w:space="0" w:color="2F75B5"/>
              <w:right w:val="single" w:sz="4" w:space="0" w:color="2F75B5"/>
            </w:tcBorders>
            <w:shd w:val="clear" w:color="auto" w:fill="D9E1F2"/>
            <w:noWrap/>
            <w:vAlign w:val="center"/>
            <w:hideMark/>
          </w:tcPr>
          <w:p w14:paraId="199F68E0" w14:textId="77777777" w:rsidR="00AC66FC" w:rsidRPr="00AB7206" w:rsidRDefault="00AC66FC" w:rsidP="0018365F">
            <w:pPr>
              <w:keepNext/>
              <w:spacing w:line="240" w:lineRule="auto"/>
              <w:jc w:val="center"/>
              <w:rPr>
                <w:rFonts w:ascii="Calibri" w:eastAsia="Times New Roman" w:hAnsi="Calibri" w:cs="Calibri"/>
                <w:color w:val="000000"/>
                <w:sz w:val="14"/>
                <w:szCs w:val="14"/>
                <w:lang w:eastAsia="es-CR"/>
              </w:rPr>
            </w:pPr>
            <w:r w:rsidRPr="00AB7206">
              <w:rPr>
                <w:rFonts w:ascii="Calibri" w:eastAsia="Times New Roman" w:hAnsi="Calibri" w:cs="Calibri"/>
                <w:color w:val="000000"/>
                <w:sz w:val="14"/>
                <w:szCs w:val="14"/>
                <w:lang w:eastAsia="es-CR"/>
              </w:rPr>
              <w:t>Transaction Unit (UT)</w:t>
            </w:r>
          </w:p>
        </w:tc>
        <w:tc>
          <w:tcPr>
            <w:tcW w:w="699" w:type="pct"/>
            <w:tcBorders>
              <w:top w:val="single" w:sz="4" w:space="0" w:color="2F75B5"/>
              <w:left w:val="single" w:sz="4" w:space="0" w:color="2F75B5"/>
              <w:bottom w:val="single" w:sz="4" w:space="0" w:color="2F75B5"/>
              <w:right w:val="single" w:sz="4" w:space="0" w:color="2F75B5"/>
            </w:tcBorders>
            <w:shd w:val="clear" w:color="auto" w:fill="D9E1F2"/>
            <w:vAlign w:val="center"/>
            <w:hideMark/>
          </w:tcPr>
          <w:p w14:paraId="138706C9" w14:textId="5340F465" w:rsidR="00AC66FC" w:rsidRPr="00AB7206" w:rsidRDefault="00AC66FC" w:rsidP="0018365F">
            <w:pPr>
              <w:keepNext/>
              <w:spacing w:line="240" w:lineRule="auto"/>
              <w:jc w:val="center"/>
              <w:rPr>
                <w:rFonts w:ascii="Calibri" w:eastAsia="Times New Roman" w:hAnsi="Calibri" w:cs="Calibri"/>
                <w:color w:val="000000"/>
                <w:sz w:val="14"/>
                <w:szCs w:val="14"/>
                <w:lang w:eastAsia="es-CR"/>
              </w:rPr>
            </w:pPr>
            <w:r w:rsidRPr="00AB7206">
              <w:rPr>
                <w:rFonts w:ascii="Calibri" w:eastAsia="Times New Roman" w:hAnsi="Calibri" w:cs="Calibri"/>
                <w:color w:val="000000"/>
                <w:sz w:val="14"/>
                <w:szCs w:val="14"/>
                <w:lang w:eastAsia="es-CR"/>
              </w:rPr>
              <w:t>National Dispatch Center (CNDC)</w:t>
            </w:r>
          </w:p>
        </w:tc>
        <w:tc>
          <w:tcPr>
            <w:tcW w:w="699" w:type="pct"/>
            <w:tcBorders>
              <w:top w:val="single" w:sz="4" w:space="0" w:color="2F75B5"/>
              <w:left w:val="single" w:sz="4" w:space="0" w:color="2F75B5"/>
              <w:bottom w:val="single" w:sz="4" w:space="0" w:color="2F75B5"/>
              <w:right w:val="single" w:sz="4" w:space="0" w:color="2F75B5"/>
            </w:tcBorders>
            <w:shd w:val="clear" w:color="auto" w:fill="D9E1F2"/>
            <w:vAlign w:val="center"/>
            <w:hideMark/>
          </w:tcPr>
          <w:p w14:paraId="3E1C0358" w14:textId="77777777" w:rsidR="00AC66FC" w:rsidRPr="00AB7206" w:rsidRDefault="00AC66FC" w:rsidP="0018365F">
            <w:pPr>
              <w:keepNext/>
              <w:spacing w:line="240" w:lineRule="auto"/>
              <w:jc w:val="center"/>
              <w:rPr>
                <w:rFonts w:ascii="Calibri" w:eastAsia="Times New Roman" w:hAnsi="Calibri" w:cs="Calibri"/>
                <w:color w:val="000000"/>
                <w:sz w:val="14"/>
                <w:szCs w:val="14"/>
                <w:lang w:eastAsia="es-CR"/>
              </w:rPr>
            </w:pPr>
            <w:r w:rsidRPr="00AB7206">
              <w:rPr>
                <w:rFonts w:ascii="Calibri" w:eastAsia="Times New Roman" w:hAnsi="Calibri" w:cs="Calibri"/>
                <w:color w:val="000000"/>
                <w:sz w:val="14"/>
                <w:szCs w:val="14"/>
                <w:lang w:eastAsia="es-CR"/>
              </w:rPr>
              <w:t>Energy Control National Center (CENCE)</w:t>
            </w:r>
          </w:p>
        </w:tc>
        <w:tc>
          <w:tcPr>
            <w:tcW w:w="697" w:type="pct"/>
            <w:tcBorders>
              <w:top w:val="single" w:sz="4" w:space="0" w:color="2F75B5"/>
              <w:left w:val="single" w:sz="4" w:space="0" w:color="2F75B5"/>
              <w:bottom w:val="single" w:sz="4" w:space="0" w:color="2F75B5"/>
              <w:right w:val="single" w:sz="8" w:space="0" w:color="2F75B5"/>
            </w:tcBorders>
            <w:shd w:val="clear" w:color="auto" w:fill="D9E1F2"/>
            <w:vAlign w:val="center"/>
            <w:hideMark/>
          </w:tcPr>
          <w:p w14:paraId="53B914E5" w14:textId="77777777" w:rsidR="00AC66FC" w:rsidRPr="00AB7206" w:rsidRDefault="00AC66FC" w:rsidP="0018365F">
            <w:pPr>
              <w:keepNext/>
              <w:spacing w:line="240" w:lineRule="auto"/>
              <w:jc w:val="center"/>
              <w:rPr>
                <w:rFonts w:ascii="Calibri" w:eastAsia="Times New Roman" w:hAnsi="Calibri" w:cs="Calibri"/>
                <w:color w:val="000000"/>
                <w:sz w:val="14"/>
                <w:szCs w:val="14"/>
                <w:lang w:eastAsia="es-CR"/>
              </w:rPr>
            </w:pPr>
            <w:r w:rsidRPr="00AB7206">
              <w:rPr>
                <w:rFonts w:ascii="Calibri" w:eastAsia="Times New Roman" w:hAnsi="Calibri" w:cs="Calibri"/>
                <w:color w:val="000000"/>
                <w:sz w:val="14"/>
                <w:szCs w:val="14"/>
                <w:lang w:eastAsia="es-CR"/>
              </w:rPr>
              <w:t>National Dispatch Center (CND-ETESA)</w:t>
            </w:r>
          </w:p>
        </w:tc>
      </w:tr>
      <w:tr w:rsidR="00AC66FC" w:rsidRPr="00CF6A8F" w14:paraId="46C8C278" w14:textId="77777777" w:rsidTr="00B526D8">
        <w:trPr>
          <w:trHeight w:val="964"/>
        </w:trPr>
        <w:tc>
          <w:tcPr>
            <w:tcW w:w="606" w:type="pct"/>
            <w:tcBorders>
              <w:top w:val="single" w:sz="4" w:space="0" w:color="2F75B5"/>
              <w:left w:val="single" w:sz="8" w:space="0" w:color="2F75B5"/>
              <w:bottom w:val="single" w:sz="4" w:space="0" w:color="2F75B5"/>
              <w:right w:val="single" w:sz="4" w:space="0" w:color="2F75B5"/>
            </w:tcBorders>
            <w:vAlign w:val="center"/>
            <w:hideMark/>
          </w:tcPr>
          <w:p w14:paraId="471D5DC9" w14:textId="77777777" w:rsidR="00AC66FC" w:rsidRPr="00AB7206" w:rsidRDefault="00AC66FC" w:rsidP="0018365F">
            <w:pPr>
              <w:keepNext/>
              <w:spacing w:line="240" w:lineRule="auto"/>
              <w:jc w:val="center"/>
              <w:rPr>
                <w:rFonts w:ascii="Calibri" w:eastAsia="Times New Roman" w:hAnsi="Calibri" w:cs="Calibri"/>
                <w:color w:val="000000"/>
                <w:sz w:val="14"/>
                <w:szCs w:val="14"/>
                <w:lang w:eastAsia="es-CR"/>
              </w:rPr>
            </w:pPr>
            <w:r w:rsidRPr="00AB7206">
              <w:rPr>
                <w:rFonts w:ascii="Calibri" w:eastAsia="Times New Roman" w:hAnsi="Calibri" w:cs="Calibri"/>
                <w:color w:val="000000"/>
                <w:sz w:val="14"/>
                <w:szCs w:val="14"/>
                <w:lang w:eastAsia="es-CR"/>
              </w:rPr>
              <w:t>Electricity Sector Regulatory Entity</w:t>
            </w:r>
          </w:p>
        </w:tc>
        <w:tc>
          <w:tcPr>
            <w:tcW w:w="699" w:type="pct"/>
            <w:tcBorders>
              <w:top w:val="single" w:sz="4" w:space="0" w:color="2F75B5"/>
              <w:left w:val="single" w:sz="4" w:space="0" w:color="2F75B5"/>
              <w:bottom w:val="single" w:sz="4" w:space="0" w:color="2F75B5"/>
              <w:right w:val="single" w:sz="4" w:space="0" w:color="2F75B5"/>
            </w:tcBorders>
            <w:vAlign w:val="center"/>
            <w:hideMark/>
          </w:tcPr>
          <w:p w14:paraId="4CA3C78D" w14:textId="77777777" w:rsidR="00AC66FC" w:rsidRPr="00AB7206" w:rsidRDefault="00AC66FC" w:rsidP="0018365F">
            <w:pPr>
              <w:keepNext/>
              <w:spacing w:line="240" w:lineRule="auto"/>
              <w:jc w:val="center"/>
              <w:rPr>
                <w:rFonts w:ascii="Calibri" w:eastAsia="Times New Roman" w:hAnsi="Calibri" w:cs="Calibri"/>
                <w:color w:val="000000"/>
                <w:sz w:val="14"/>
                <w:szCs w:val="14"/>
                <w:lang w:eastAsia="es-CR"/>
              </w:rPr>
            </w:pPr>
            <w:r w:rsidRPr="00AB7206">
              <w:rPr>
                <w:rFonts w:ascii="Calibri" w:eastAsia="Times New Roman" w:hAnsi="Calibri" w:cs="Calibri"/>
                <w:color w:val="000000"/>
                <w:sz w:val="14"/>
                <w:szCs w:val="14"/>
                <w:lang w:eastAsia="es-CR"/>
              </w:rPr>
              <w:t>National Electric Power Commission (CNEE)</w:t>
            </w:r>
          </w:p>
        </w:tc>
        <w:tc>
          <w:tcPr>
            <w:tcW w:w="699" w:type="pct"/>
            <w:tcBorders>
              <w:top w:val="single" w:sz="4" w:space="0" w:color="2F75B5"/>
              <w:left w:val="single" w:sz="4" w:space="0" w:color="2F75B5"/>
              <w:bottom w:val="single" w:sz="4" w:space="0" w:color="2F75B5"/>
              <w:right w:val="single" w:sz="4" w:space="0" w:color="2F75B5"/>
            </w:tcBorders>
            <w:vAlign w:val="center"/>
            <w:hideMark/>
          </w:tcPr>
          <w:p w14:paraId="422B5CC4" w14:textId="77777777" w:rsidR="00AC66FC" w:rsidRPr="00AB7206" w:rsidRDefault="00AC66FC" w:rsidP="0018365F">
            <w:pPr>
              <w:keepNext/>
              <w:spacing w:line="240" w:lineRule="auto"/>
              <w:jc w:val="center"/>
              <w:rPr>
                <w:rFonts w:ascii="Calibri" w:eastAsia="Times New Roman" w:hAnsi="Calibri" w:cs="Calibri"/>
                <w:color w:val="000000"/>
                <w:sz w:val="14"/>
                <w:szCs w:val="14"/>
                <w:lang w:eastAsia="es-CR"/>
              </w:rPr>
            </w:pPr>
            <w:r w:rsidRPr="00AB7206">
              <w:rPr>
                <w:rFonts w:ascii="Calibri" w:eastAsia="Times New Roman" w:hAnsi="Calibri" w:cs="Calibri"/>
                <w:color w:val="000000"/>
                <w:sz w:val="14"/>
                <w:szCs w:val="14"/>
                <w:lang w:eastAsia="es-CR"/>
              </w:rPr>
              <w:t>Electric Power Regulatory Commission (CREE)</w:t>
            </w:r>
          </w:p>
        </w:tc>
        <w:tc>
          <w:tcPr>
            <w:tcW w:w="900" w:type="pct"/>
            <w:tcBorders>
              <w:top w:val="single" w:sz="4" w:space="0" w:color="2F75B5"/>
              <w:left w:val="single" w:sz="4" w:space="0" w:color="2F75B5"/>
              <w:bottom w:val="single" w:sz="4" w:space="0" w:color="2F75B5"/>
              <w:right w:val="single" w:sz="4" w:space="0" w:color="2F75B5"/>
            </w:tcBorders>
            <w:vAlign w:val="center"/>
            <w:hideMark/>
          </w:tcPr>
          <w:p w14:paraId="14929E4D" w14:textId="77777777" w:rsidR="00AC66FC" w:rsidRPr="00AB7206" w:rsidRDefault="00AC66FC" w:rsidP="0018365F">
            <w:pPr>
              <w:keepNext/>
              <w:spacing w:line="240" w:lineRule="auto"/>
              <w:jc w:val="center"/>
              <w:rPr>
                <w:rFonts w:ascii="Calibri" w:eastAsia="Times New Roman" w:hAnsi="Calibri" w:cs="Calibri"/>
                <w:color w:val="000000"/>
                <w:sz w:val="14"/>
                <w:szCs w:val="14"/>
                <w:lang w:eastAsia="es-CR"/>
              </w:rPr>
            </w:pPr>
            <w:r w:rsidRPr="00AB7206">
              <w:rPr>
                <w:rFonts w:ascii="Calibri" w:eastAsia="Times New Roman" w:hAnsi="Calibri" w:cs="Calibri"/>
                <w:color w:val="000000"/>
                <w:sz w:val="14"/>
                <w:szCs w:val="14"/>
                <w:lang w:eastAsia="es-CR"/>
              </w:rPr>
              <w:t>Electricity and Telecommunications General Superintendence (SIGET)</w:t>
            </w:r>
          </w:p>
        </w:tc>
        <w:tc>
          <w:tcPr>
            <w:tcW w:w="699" w:type="pct"/>
            <w:tcBorders>
              <w:top w:val="single" w:sz="4" w:space="0" w:color="2F75B5"/>
              <w:left w:val="single" w:sz="4" w:space="0" w:color="2F75B5"/>
              <w:bottom w:val="single" w:sz="4" w:space="0" w:color="2F75B5"/>
              <w:right w:val="single" w:sz="4" w:space="0" w:color="2F75B5"/>
            </w:tcBorders>
            <w:vAlign w:val="center"/>
            <w:hideMark/>
          </w:tcPr>
          <w:p w14:paraId="57CFB44E" w14:textId="77777777" w:rsidR="00AC66FC" w:rsidRPr="00AB7206" w:rsidRDefault="00AC66FC" w:rsidP="0018365F">
            <w:pPr>
              <w:keepNext/>
              <w:spacing w:line="240" w:lineRule="auto"/>
              <w:jc w:val="center"/>
              <w:rPr>
                <w:rFonts w:ascii="Calibri" w:eastAsia="Times New Roman" w:hAnsi="Calibri" w:cs="Calibri"/>
                <w:color w:val="000000"/>
                <w:sz w:val="14"/>
                <w:szCs w:val="14"/>
                <w:lang w:eastAsia="es-CR"/>
              </w:rPr>
            </w:pPr>
            <w:r w:rsidRPr="00AB7206">
              <w:rPr>
                <w:rFonts w:ascii="Calibri" w:eastAsia="Times New Roman" w:hAnsi="Calibri" w:cs="Calibri"/>
                <w:color w:val="000000"/>
                <w:sz w:val="14"/>
                <w:szCs w:val="14"/>
                <w:lang w:eastAsia="es-CR"/>
              </w:rPr>
              <w:t>Nicaraguan Electricity Institute (INE)</w:t>
            </w:r>
          </w:p>
        </w:tc>
        <w:tc>
          <w:tcPr>
            <w:tcW w:w="699" w:type="pct"/>
            <w:tcBorders>
              <w:top w:val="single" w:sz="4" w:space="0" w:color="2F75B5"/>
              <w:left w:val="single" w:sz="4" w:space="0" w:color="2F75B5"/>
              <w:bottom w:val="single" w:sz="4" w:space="0" w:color="2F75B5"/>
              <w:right w:val="single" w:sz="4" w:space="0" w:color="2F75B5"/>
            </w:tcBorders>
            <w:vAlign w:val="center"/>
            <w:hideMark/>
          </w:tcPr>
          <w:p w14:paraId="5645075A" w14:textId="77777777" w:rsidR="00AC66FC" w:rsidRPr="00AB7206" w:rsidRDefault="00AC66FC" w:rsidP="0018365F">
            <w:pPr>
              <w:keepNext/>
              <w:spacing w:line="240" w:lineRule="auto"/>
              <w:jc w:val="center"/>
              <w:rPr>
                <w:rFonts w:ascii="Calibri" w:eastAsia="Times New Roman" w:hAnsi="Calibri" w:cs="Calibri"/>
                <w:color w:val="000000"/>
                <w:sz w:val="14"/>
                <w:szCs w:val="14"/>
                <w:lang w:eastAsia="es-CR"/>
              </w:rPr>
            </w:pPr>
            <w:r w:rsidRPr="00AB7206">
              <w:rPr>
                <w:rFonts w:ascii="Calibri" w:eastAsia="Times New Roman" w:hAnsi="Calibri" w:cs="Calibri"/>
                <w:color w:val="000000"/>
                <w:sz w:val="14"/>
                <w:szCs w:val="14"/>
                <w:lang w:eastAsia="es-CR"/>
              </w:rPr>
              <w:t>Public Services Regulatory Authority (ARESEP)</w:t>
            </w:r>
          </w:p>
        </w:tc>
        <w:tc>
          <w:tcPr>
            <w:tcW w:w="697" w:type="pct"/>
            <w:tcBorders>
              <w:top w:val="single" w:sz="4" w:space="0" w:color="2F75B5"/>
              <w:left w:val="single" w:sz="4" w:space="0" w:color="2F75B5"/>
              <w:bottom w:val="single" w:sz="4" w:space="0" w:color="2F75B5"/>
              <w:right w:val="single" w:sz="8" w:space="0" w:color="2F75B5"/>
            </w:tcBorders>
            <w:vAlign w:val="center"/>
            <w:hideMark/>
          </w:tcPr>
          <w:p w14:paraId="3137DA91" w14:textId="77777777" w:rsidR="00AC66FC" w:rsidRPr="00AB7206" w:rsidRDefault="00AC66FC" w:rsidP="0018365F">
            <w:pPr>
              <w:keepNext/>
              <w:spacing w:line="240" w:lineRule="auto"/>
              <w:jc w:val="center"/>
              <w:rPr>
                <w:rFonts w:ascii="Calibri" w:eastAsia="Times New Roman" w:hAnsi="Calibri" w:cs="Calibri"/>
                <w:color w:val="000000"/>
                <w:sz w:val="14"/>
                <w:szCs w:val="14"/>
                <w:lang w:eastAsia="es-CR"/>
              </w:rPr>
            </w:pPr>
            <w:r w:rsidRPr="00AB7206">
              <w:rPr>
                <w:rFonts w:ascii="Calibri" w:eastAsia="Times New Roman" w:hAnsi="Calibri" w:cs="Calibri"/>
                <w:color w:val="000000"/>
                <w:sz w:val="14"/>
                <w:szCs w:val="14"/>
                <w:lang w:eastAsia="es-CR"/>
              </w:rPr>
              <w:t>Public Services National Authority (ASEP)</w:t>
            </w:r>
          </w:p>
        </w:tc>
      </w:tr>
      <w:tr w:rsidR="00AC66FC" w:rsidRPr="00AB7206" w14:paraId="361A9B5C" w14:textId="77777777" w:rsidTr="00B526D8">
        <w:trPr>
          <w:trHeight w:val="794"/>
        </w:trPr>
        <w:tc>
          <w:tcPr>
            <w:tcW w:w="606" w:type="pct"/>
            <w:tcBorders>
              <w:top w:val="single" w:sz="4" w:space="0" w:color="2F75B5"/>
              <w:left w:val="single" w:sz="8" w:space="0" w:color="2F75B5"/>
              <w:bottom w:val="single" w:sz="4" w:space="0" w:color="2F75B5"/>
              <w:right w:val="single" w:sz="4" w:space="0" w:color="2F75B5"/>
            </w:tcBorders>
            <w:shd w:val="clear" w:color="auto" w:fill="D9E1F2"/>
            <w:vAlign w:val="center"/>
            <w:hideMark/>
          </w:tcPr>
          <w:p w14:paraId="1ED94E9C" w14:textId="77777777" w:rsidR="00AC66FC" w:rsidRPr="00AB7206" w:rsidRDefault="00AC66FC" w:rsidP="0018365F">
            <w:pPr>
              <w:keepNext/>
              <w:spacing w:line="240" w:lineRule="auto"/>
              <w:jc w:val="center"/>
              <w:rPr>
                <w:rFonts w:ascii="Calibri" w:eastAsia="Times New Roman" w:hAnsi="Calibri" w:cs="Calibri"/>
                <w:color w:val="000000"/>
                <w:sz w:val="14"/>
                <w:szCs w:val="14"/>
                <w:lang w:eastAsia="es-CR"/>
              </w:rPr>
            </w:pPr>
            <w:r w:rsidRPr="00AB7206">
              <w:rPr>
                <w:rFonts w:ascii="Calibri" w:eastAsia="Times New Roman" w:hAnsi="Calibri" w:cs="Calibri"/>
                <w:color w:val="000000"/>
                <w:sz w:val="14"/>
                <w:szCs w:val="14"/>
                <w:lang w:eastAsia="es-CR"/>
              </w:rPr>
              <w:t>Public Electric Companies</w:t>
            </w:r>
          </w:p>
        </w:tc>
        <w:tc>
          <w:tcPr>
            <w:tcW w:w="699" w:type="pct"/>
            <w:tcBorders>
              <w:top w:val="single" w:sz="4" w:space="0" w:color="2F75B5"/>
              <w:left w:val="single" w:sz="4" w:space="0" w:color="2F75B5"/>
              <w:bottom w:val="single" w:sz="4" w:space="0" w:color="2F75B5"/>
              <w:right w:val="single" w:sz="4" w:space="0" w:color="2F75B5"/>
            </w:tcBorders>
            <w:shd w:val="clear" w:color="auto" w:fill="D9E1F2"/>
            <w:vAlign w:val="center"/>
            <w:hideMark/>
          </w:tcPr>
          <w:p w14:paraId="11A9886C" w14:textId="77777777" w:rsidR="00AC66FC" w:rsidRPr="00AB7206" w:rsidRDefault="00AC66FC" w:rsidP="0018365F">
            <w:pPr>
              <w:keepNext/>
              <w:spacing w:line="240" w:lineRule="auto"/>
              <w:jc w:val="center"/>
              <w:rPr>
                <w:rFonts w:ascii="Calibri" w:eastAsia="Times New Roman" w:hAnsi="Calibri" w:cs="Calibri"/>
                <w:color w:val="000000"/>
                <w:sz w:val="14"/>
                <w:szCs w:val="14"/>
                <w:lang w:eastAsia="es-CR"/>
              </w:rPr>
            </w:pPr>
            <w:r w:rsidRPr="00AB7206">
              <w:rPr>
                <w:rFonts w:ascii="Calibri" w:eastAsia="Times New Roman" w:hAnsi="Calibri" w:cs="Calibri"/>
                <w:color w:val="000000"/>
                <w:sz w:val="14"/>
                <w:szCs w:val="14"/>
                <w:lang w:eastAsia="es-CR"/>
              </w:rPr>
              <w:t>Electric Power Generation Company (EGEE- INDE)</w:t>
            </w:r>
          </w:p>
        </w:tc>
        <w:tc>
          <w:tcPr>
            <w:tcW w:w="699" w:type="pct"/>
            <w:tcBorders>
              <w:top w:val="single" w:sz="4" w:space="0" w:color="2F75B5"/>
              <w:left w:val="single" w:sz="4" w:space="0" w:color="2F75B5"/>
              <w:bottom w:val="single" w:sz="4" w:space="0" w:color="2F75B5"/>
              <w:right w:val="single" w:sz="4" w:space="0" w:color="2F75B5"/>
            </w:tcBorders>
            <w:shd w:val="clear" w:color="auto" w:fill="D9E1F2"/>
            <w:vAlign w:val="center"/>
            <w:hideMark/>
          </w:tcPr>
          <w:p w14:paraId="2FE3513B" w14:textId="77777777" w:rsidR="00AC66FC" w:rsidRPr="00AB7206" w:rsidRDefault="00AC66FC" w:rsidP="0018365F">
            <w:pPr>
              <w:keepNext/>
              <w:spacing w:line="240" w:lineRule="auto"/>
              <w:jc w:val="center"/>
              <w:rPr>
                <w:rFonts w:ascii="Calibri" w:eastAsia="Times New Roman" w:hAnsi="Calibri" w:cs="Calibri"/>
                <w:color w:val="000000"/>
                <w:sz w:val="14"/>
                <w:szCs w:val="14"/>
                <w:lang w:eastAsia="es-CR"/>
              </w:rPr>
            </w:pPr>
            <w:r w:rsidRPr="00AB7206">
              <w:rPr>
                <w:rFonts w:ascii="Calibri" w:eastAsia="Times New Roman" w:hAnsi="Calibri" w:cs="Calibri"/>
                <w:color w:val="000000"/>
                <w:sz w:val="14"/>
                <w:szCs w:val="14"/>
                <w:lang w:eastAsia="es-CR"/>
              </w:rPr>
              <w:t>National Electrical Energy Company (ENEE)</w:t>
            </w:r>
          </w:p>
        </w:tc>
        <w:tc>
          <w:tcPr>
            <w:tcW w:w="900" w:type="pct"/>
            <w:tcBorders>
              <w:top w:val="single" w:sz="4" w:space="0" w:color="2F75B5"/>
              <w:left w:val="single" w:sz="4" w:space="0" w:color="2F75B5"/>
              <w:bottom w:val="single" w:sz="4" w:space="0" w:color="2F75B5"/>
              <w:right w:val="single" w:sz="4" w:space="0" w:color="2F75B5"/>
            </w:tcBorders>
            <w:shd w:val="clear" w:color="auto" w:fill="D9E1F2"/>
            <w:vAlign w:val="center"/>
            <w:hideMark/>
          </w:tcPr>
          <w:p w14:paraId="3EB00E8A" w14:textId="77777777" w:rsidR="00AC66FC" w:rsidRPr="00AB7206" w:rsidRDefault="00AC66FC" w:rsidP="0018365F">
            <w:pPr>
              <w:keepNext/>
              <w:spacing w:line="240" w:lineRule="auto"/>
              <w:jc w:val="center"/>
              <w:rPr>
                <w:rFonts w:ascii="Calibri" w:eastAsia="Times New Roman" w:hAnsi="Calibri" w:cs="Calibri"/>
                <w:color w:val="000000"/>
                <w:sz w:val="14"/>
                <w:szCs w:val="14"/>
                <w:lang w:eastAsia="es-CR"/>
              </w:rPr>
            </w:pPr>
            <w:r w:rsidRPr="00AB7206">
              <w:rPr>
                <w:rFonts w:ascii="Calibri" w:eastAsia="Times New Roman" w:hAnsi="Calibri" w:cs="Calibri"/>
                <w:color w:val="000000"/>
                <w:sz w:val="14"/>
                <w:szCs w:val="14"/>
                <w:lang w:eastAsia="es-CR"/>
              </w:rPr>
              <w:t>The River Lempa Hydroelectric Executive commission (CEL)</w:t>
            </w:r>
          </w:p>
        </w:tc>
        <w:tc>
          <w:tcPr>
            <w:tcW w:w="699" w:type="pct"/>
            <w:tcBorders>
              <w:top w:val="single" w:sz="4" w:space="0" w:color="2F75B5"/>
              <w:left w:val="single" w:sz="4" w:space="0" w:color="2F75B5"/>
              <w:bottom w:val="single" w:sz="4" w:space="0" w:color="2F75B5"/>
              <w:right w:val="single" w:sz="4" w:space="0" w:color="2F75B5"/>
            </w:tcBorders>
            <w:shd w:val="clear" w:color="auto" w:fill="D9E1F2"/>
            <w:vAlign w:val="center"/>
            <w:hideMark/>
          </w:tcPr>
          <w:p w14:paraId="032A9044" w14:textId="77777777" w:rsidR="00AC66FC" w:rsidRPr="00AB7206" w:rsidRDefault="00AC66FC" w:rsidP="0018365F">
            <w:pPr>
              <w:keepNext/>
              <w:spacing w:line="240" w:lineRule="auto"/>
              <w:jc w:val="center"/>
              <w:rPr>
                <w:rFonts w:ascii="Calibri" w:eastAsia="Times New Roman" w:hAnsi="Calibri" w:cs="Calibri"/>
                <w:color w:val="000000"/>
                <w:sz w:val="14"/>
                <w:szCs w:val="14"/>
                <w:lang w:eastAsia="es-CR"/>
              </w:rPr>
            </w:pPr>
            <w:r w:rsidRPr="00AB7206">
              <w:rPr>
                <w:rFonts w:ascii="Calibri" w:eastAsia="Times New Roman" w:hAnsi="Calibri" w:cs="Calibri"/>
                <w:color w:val="000000"/>
                <w:sz w:val="14"/>
                <w:szCs w:val="14"/>
                <w:lang w:eastAsia="es-CR"/>
              </w:rPr>
              <w:t>Nicaraguan Electricity Company (ENEL)</w:t>
            </w:r>
          </w:p>
        </w:tc>
        <w:tc>
          <w:tcPr>
            <w:tcW w:w="699" w:type="pct"/>
            <w:tcBorders>
              <w:top w:val="single" w:sz="4" w:space="0" w:color="2F75B5"/>
              <w:left w:val="single" w:sz="4" w:space="0" w:color="2F75B5"/>
              <w:bottom w:val="single" w:sz="4" w:space="0" w:color="2F75B5"/>
              <w:right w:val="single" w:sz="4" w:space="0" w:color="2F75B5"/>
            </w:tcBorders>
            <w:shd w:val="clear" w:color="auto" w:fill="D9E1F2"/>
            <w:vAlign w:val="center"/>
            <w:hideMark/>
          </w:tcPr>
          <w:p w14:paraId="12ED22CC" w14:textId="77777777" w:rsidR="00AC66FC" w:rsidRPr="00AB7206" w:rsidRDefault="00AC66FC" w:rsidP="0018365F">
            <w:pPr>
              <w:keepNext/>
              <w:spacing w:line="240" w:lineRule="auto"/>
              <w:jc w:val="center"/>
              <w:rPr>
                <w:rFonts w:ascii="Calibri" w:eastAsia="Times New Roman" w:hAnsi="Calibri" w:cs="Calibri"/>
                <w:color w:val="000000"/>
                <w:sz w:val="14"/>
                <w:szCs w:val="14"/>
                <w:lang w:eastAsia="es-CR"/>
              </w:rPr>
            </w:pPr>
            <w:r w:rsidRPr="00AB7206">
              <w:rPr>
                <w:rFonts w:ascii="Calibri" w:eastAsia="Times New Roman" w:hAnsi="Calibri" w:cs="Calibri"/>
                <w:color w:val="000000"/>
                <w:sz w:val="14"/>
                <w:szCs w:val="14"/>
                <w:lang w:eastAsia="es-CR"/>
              </w:rPr>
              <w:t>Costa Rician Electricity Institute (ICE) + 3</w:t>
            </w:r>
          </w:p>
        </w:tc>
        <w:tc>
          <w:tcPr>
            <w:tcW w:w="697" w:type="pct"/>
            <w:tcBorders>
              <w:top w:val="single" w:sz="4" w:space="0" w:color="2F75B5"/>
              <w:left w:val="single" w:sz="4" w:space="0" w:color="2F75B5"/>
              <w:bottom w:val="single" w:sz="4" w:space="0" w:color="2F75B5"/>
              <w:right w:val="single" w:sz="8" w:space="0" w:color="2F75B5"/>
            </w:tcBorders>
            <w:shd w:val="clear" w:color="auto" w:fill="D9E1F2"/>
            <w:vAlign w:val="center"/>
            <w:hideMark/>
          </w:tcPr>
          <w:p w14:paraId="2E5CB864" w14:textId="77777777" w:rsidR="00AC66FC" w:rsidRPr="00AB7206" w:rsidRDefault="00AC66FC" w:rsidP="0018365F">
            <w:pPr>
              <w:keepNext/>
              <w:spacing w:line="240" w:lineRule="auto"/>
              <w:jc w:val="center"/>
              <w:rPr>
                <w:rFonts w:ascii="Calibri" w:eastAsia="Times New Roman" w:hAnsi="Calibri" w:cs="Calibri"/>
                <w:color w:val="000000"/>
                <w:sz w:val="14"/>
                <w:szCs w:val="14"/>
                <w:lang w:eastAsia="es-CR"/>
              </w:rPr>
            </w:pPr>
            <w:r w:rsidRPr="00AB7206">
              <w:rPr>
                <w:rFonts w:ascii="Calibri" w:eastAsia="Times New Roman" w:hAnsi="Calibri" w:cs="Calibri"/>
                <w:color w:val="000000"/>
                <w:sz w:val="14"/>
                <w:szCs w:val="14"/>
                <w:lang w:eastAsia="es-CR"/>
              </w:rPr>
              <w:t>EGESA, ACP</w:t>
            </w:r>
          </w:p>
        </w:tc>
      </w:tr>
      <w:tr w:rsidR="00AC66FC" w:rsidRPr="00AB7206" w14:paraId="44EAB01A" w14:textId="77777777" w:rsidTr="00B526D8">
        <w:trPr>
          <w:trHeight w:val="510"/>
        </w:trPr>
        <w:tc>
          <w:tcPr>
            <w:tcW w:w="606" w:type="pct"/>
            <w:tcBorders>
              <w:top w:val="single" w:sz="4" w:space="0" w:color="2F75B5"/>
              <w:left w:val="single" w:sz="8" w:space="0" w:color="2F75B5"/>
              <w:bottom w:val="single" w:sz="4" w:space="0" w:color="2F75B5"/>
              <w:right w:val="single" w:sz="4" w:space="0" w:color="2F75B5"/>
            </w:tcBorders>
            <w:vAlign w:val="center"/>
            <w:hideMark/>
          </w:tcPr>
          <w:p w14:paraId="35C6F9C1" w14:textId="77777777" w:rsidR="00AC66FC" w:rsidRPr="00AB7206" w:rsidRDefault="00AC66FC" w:rsidP="0018365F">
            <w:pPr>
              <w:keepNext/>
              <w:spacing w:line="240" w:lineRule="auto"/>
              <w:jc w:val="center"/>
              <w:rPr>
                <w:rFonts w:ascii="Calibri" w:eastAsia="Times New Roman" w:hAnsi="Calibri" w:cs="Calibri"/>
                <w:color w:val="000000"/>
                <w:sz w:val="14"/>
                <w:szCs w:val="14"/>
                <w:lang w:eastAsia="es-CR"/>
              </w:rPr>
            </w:pPr>
            <w:r w:rsidRPr="00AB7206">
              <w:rPr>
                <w:rFonts w:ascii="Calibri" w:eastAsia="Times New Roman" w:hAnsi="Calibri" w:cs="Calibri"/>
                <w:color w:val="000000"/>
                <w:sz w:val="14"/>
                <w:szCs w:val="14"/>
                <w:lang w:eastAsia="es-CR"/>
              </w:rPr>
              <w:t>Private Electric Companies</w:t>
            </w:r>
          </w:p>
        </w:tc>
        <w:tc>
          <w:tcPr>
            <w:tcW w:w="699" w:type="pct"/>
            <w:tcBorders>
              <w:top w:val="single" w:sz="4" w:space="0" w:color="2F75B5"/>
              <w:left w:val="single" w:sz="4" w:space="0" w:color="2F75B5"/>
              <w:bottom w:val="single" w:sz="4" w:space="0" w:color="2F75B5"/>
              <w:right w:val="single" w:sz="4" w:space="0" w:color="2F75B5"/>
            </w:tcBorders>
            <w:vAlign w:val="center"/>
            <w:hideMark/>
          </w:tcPr>
          <w:p w14:paraId="2D683915" w14:textId="77777777" w:rsidR="00AC66FC" w:rsidRPr="00AB7206" w:rsidRDefault="00AC66FC" w:rsidP="0018365F">
            <w:pPr>
              <w:keepNext/>
              <w:spacing w:line="240" w:lineRule="auto"/>
              <w:jc w:val="center"/>
              <w:rPr>
                <w:rFonts w:ascii="Calibri" w:eastAsia="Times New Roman" w:hAnsi="Calibri" w:cs="Calibri"/>
                <w:color w:val="000000"/>
                <w:sz w:val="14"/>
                <w:szCs w:val="14"/>
                <w:lang w:eastAsia="es-CR"/>
              </w:rPr>
            </w:pPr>
            <w:r w:rsidRPr="00AB7206">
              <w:rPr>
                <w:rFonts w:ascii="Calibri" w:eastAsia="Times New Roman" w:hAnsi="Calibri" w:cs="Calibri"/>
                <w:color w:val="000000"/>
                <w:sz w:val="14"/>
                <w:szCs w:val="14"/>
                <w:lang w:eastAsia="es-CR"/>
              </w:rPr>
              <w:t>41</w:t>
            </w:r>
          </w:p>
        </w:tc>
        <w:tc>
          <w:tcPr>
            <w:tcW w:w="699" w:type="pct"/>
            <w:tcBorders>
              <w:top w:val="single" w:sz="4" w:space="0" w:color="2F75B5"/>
              <w:left w:val="single" w:sz="4" w:space="0" w:color="2F75B5"/>
              <w:bottom w:val="single" w:sz="4" w:space="0" w:color="2F75B5"/>
              <w:right w:val="single" w:sz="4" w:space="0" w:color="2F75B5"/>
            </w:tcBorders>
            <w:noWrap/>
            <w:vAlign w:val="center"/>
            <w:hideMark/>
          </w:tcPr>
          <w:p w14:paraId="1262978C" w14:textId="77777777" w:rsidR="00AC66FC" w:rsidRPr="00AB7206" w:rsidRDefault="00AC66FC" w:rsidP="0018365F">
            <w:pPr>
              <w:keepNext/>
              <w:spacing w:line="240" w:lineRule="auto"/>
              <w:jc w:val="center"/>
              <w:rPr>
                <w:rFonts w:ascii="Calibri" w:eastAsia="Times New Roman" w:hAnsi="Calibri" w:cs="Calibri"/>
                <w:color w:val="000000"/>
                <w:sz w:val="14"/>
                <w:szCs w:val="14"/>
                <w:lang w:eastAsia="es-CR"/>
              </w:rPr>
            </w:pPr>
            <w:r w:rsidRPr="00AB7206">
              <w:rPr>
                <w:rFonts w:ascii="Calibri" w:eastAsia="Times New Roman" w:hAnsi="Calibri" w:cs="Calibri"/>
                <w:color w:val="000000"/>
                <w:sz w:val="14"/>
                <w:szCs w:val="14"/>
                <w:lang w:eastAsia="es-CR"/>
              </w:rPr>
              <w:t>81</w:t>
            </w:r>
          </w:p>
        </w:tc>
        <w:tc>
          <w:tcPr>
            <w:tcW w:w="900" w:type="pct"/>
            <w:tcBorders>
              <w:top w:val="single" w:sz="4" w:space="0" w:color="2F75B5"/>
              <w:left w:val="single" w:sz="4" w:space="0" w:color="2F75B5"/>
              <w:bottom w:val="single" w:sz="4" w:space="0" w:color="2F75B5"/>
              <w:right w:val="single" w:sz="4" w:space="0" w:color="2F75B5"/>
            </w:tcBorders>
            <w:noWrap/>
            <w:vAlign w:val="center"/>
            <w:hideMark/>
          </w:tcPr>
          <w:p w14:paraId="6B5CA32F" w14:textId="77777777" w:rsidR="00AC66FC" w:rsidRPr="00AB7206" w:rsidRDefault="00AC66FC" w:rsidP="0018365F">
            <w:pPr>
              <w:keepNext/>
              <w:spacing w:line="240" w:lineRule="auto"/>
              <w:jc w:val="center"/>
              <w:rPr>
                <w:rFonts w:ascii="Calibri" w:eastAsia="Times New Roman" w:hAnsi="Calibri" w:cs="Calibri"/>
                <w:color w:val="000000"/>
                <w:sz w:val="14"/>
                <w:szCs w:val="14"/>
                <w:lang w:eastAsia="es-CR"/>
              </w:rPr>
            </w:pPr>
            <w:r w:rsidRPr="00AB7206">
              <w:rPr>
                <w:rFonts w:ascii="Calibri" w:eastAsia="Times New Roman" w:hAnsi="Calibri" w:cs="Calibri"/>
                <w:color w:val="000000"/>
                <w:sz w:val="14"/>
                <w:szCs w:val="14"/>
                <w:lang w:eastAsia="es-CR"/>
              </w:rPr>
              <w:t>22</w:t>
            </w:r>
          </w:p>
        </w:tc>
        <w:tc>
          <w:tcPr>
            <w:tcW w:w="699" w:type="pct"/>
            <w:tcBorders>
              <w:top w:val="single" w:sz="4" w:space="0" w:color="2F75B5"/>
              <w:left w:val="single" w:sz="4" w:space="0" w:color="2F75B5"/>
              <w:bottom w:val="single" w:sz="4" w:space="0" w:color="2F75B5"/>
              <w:right w:val="single" w:sz="4" w:space="0" w:color="2F75B5"/>
            </w:tcBorders>
            <w:noWrap/>
            <w:vAlign w:val="center"/>
            <w:hideMark/>
          </w:tcPr>
          <w:p w14:paraId="5BED2D4C" w14:textId="77777777" w:rsidR="00AC66FC" w:rsidRPr="00AB7206" w:rsidRDefault="00AC66FC" w:rsidP="0018365F">
            <w:pPr>
              <w:keepNext/>
              <w:spacing w:line="240" w:lineRule="auto"/>
              <w:jc w:val="center"/>
              <w:rPr>
                <w:rFonts w:ascii="Calibri" w:eastAsia="Times New Roman" w:hAnsi="Calibri" w:cs="Calibri"/>
                <w:color w:val="000000"/>
                <w:sz w:val="14"/>
                <w:szCs w:val="14"/>
                <w:lang w:eastAsia="es-CR"/>
              </w:rPr>
            </w:pPr>
            <w:r w:rsidRPr="00AB7206">
              <w:rPr>
                <w:rFonts w:ascii="Calibri" w:eastAsia="Times New Roman" w:hAnsi="Calibri" w:cs="Calibri"/>
                <w:color w:val="000000"/>
                <w:sz w:val="14"/>
                <w:szCs w:val="14"/>
                <w:lang w:eastAsia="es-CR"/>
              </w:rPr>
              <w:t>26</w:t>
            </w:r>
          </w:p>
        </w:tc>
        <w:tc>
          <w:tcPr>
            <w:tcW w:w="699" w:type="pct"/>
            <w:tcBorders>
              <w:top w:val="single" w:sz="4" w:space="0" w:color="2F75B5"/>
              <w:left w:val="single" w:sz="4" w:space="0" w:color="2F75B5"/>
              <w:bottom w:val="single" w:sz="4" w:space="0" w:color="2F75B5"/>
              <w:right w:val="single" w:sz="4" w:space="0" w:color="2F75B5"/>
            </w:tcBorders>
            <w:vAlign w:val="center"/>
            <w:hideMark/>
          </w:tcPr>
          <w:p w14:paraId="34EF93C1" w14:textId="77777777" w:rsidR="00AC66FC" w:rsidRPr="00AB7206" w:rsidRDefault="00AC66FC" w:rsidP="0018365F">
            <w:pPr>
              <w:keepNext/>
              <w:spacing w:line="240" w:lineRule="auto"/>
              <w:jc w:val="center"/>
              <w:rPr>
                <w:rFonts w:ascii="Calibri" w:eastAsia="Times New Roman" w:hAnsi="Calibri" w:cs="Calibri"/>
                <w:color w:val="000000"/>
                <w:sz w:val="14"/>
                <w:szCs w:val="14"/>
                <w:lang w:eastAsia="es-CR"/>
              </w:rPr>
            </w:pPr>
            <w:r w:rsidRPr="00AB7206">
              <w:rPr>
                <w:rFonts w:ascii="Calibri" w:eastAsia="Times New Roman" w:hAnsi="Calibri" w:cs="Calibri"/>
                <w:color w:val="000000"/>
                <w:sz w:val="14"/>
                <w:szCs w:val="14"/>
                <w:lang w:eastAsia="es-CR"/>
              </w:rPr>
              <w:t>32</w:t>
            </w:r>
          </w:p>
        </w:tc>
        <w:tc>
          <w:tcPr>
            <w:tcW w:w="697" w:type="pct"/>
            <w:tcBorders>
              <w:top w:val="single" w:sz="4" w:space="0" w:color="2F75B5"/>
              <w:left w:val="single" w:sz="4" w:space="0" w:color="2F75B5"/>
              <w:bottom w:val="single" w:sz="4" w:space="0" w:color="2F75B5"/>
              <w:right w:val="single" w:sz="8" w:space="0" w:color="2F75B5"/>
            </w:tcBorders>
            <w:vAlign w:val="center"/>
            <w:hideMark/>
          </w:tcPr>
          <w:p w14:paraId="6604101A" w14:textId="77777777" w:rsidR="00AC66FC" w:rsidRPr="00AB7206" w:rsidRDefault="00AC66FC" w:rsidP="0018365F">
            <w:pPr>
              <w:keepNext/>
              <w:spacing w:line="240" w:lineRule="auto"/>
              <w:jc w:val="center"/>
              <w:rPr>
                <w:rFonts w:ascii="Calibri" w:eastAsia="Times New Roman" w:hAnsi="Calibri" w:cs="Calibri"/>
                <w:color w:val="000000"/>
                <w:sz w:val="14"/>
                <w:szCs w:val="14"/>
                <w:lang w:eastAsia="es-CR"/>
              </w:rPr>
            </w:pPr>
            <w:r w:rsidRPr="00AB7206">
              <w:rPr>
                <w:rFonts w:ascii="Calibri" w:eastAsia="Times New Roman" w:hAnsi="Calibri" w:cs="Calibri"/>
                <w:color w:val="000000"/>
                <w:sz w:val="14"/>
                <w:szCs w:val="14"/>
                <w:lang w:eastAsia="es-CR"/>
              </w:rPr>
              <w:t>59</w:t>
            </w:r>
          </w:p>
        </w:tc>
      </w:tr>
      <w:tr w:rsidR="00AC66FC" w:rsidRPr="00AB7206" w14:paraId="4F54CEDC" w14:textId="77777777" w:rsidTr="00B526D8">
        <w:trPr>
          <w:trHeight w:val="737"/>
        </w:trPr>
        <w:tc>
          <w:tcPr>
            <w:tcW w:w="606" w:type="pct"/>
            <w:tcBorders>
              <w:top w:val="single" w:sz="4" w:space="0" w:color="2F75B5"/>
              <w:left w:val="single" w:sz="8" w:space="0" w:color="2F75B5"/>
              <w:bottom w:val="single" w:sz="4" w:space="0" w:color="2F75B5"/>
              <w:right w:val="single" w:sz="4" w:space="0" w:color="2F75B5"/>
            </w:tcBorders>
            <w:shd w:val="clear" w:color="auto" w:fill="D9E1F2"/>
            <w:vAlign w:val="center"/>
            <w:hideMark/>
          </w:tcPr>
          <w:p w14:paraId="7A72BC8B" w14:textId="77777777" w:rsidR="00AC66FC" w:rsidRPr="00AB7206" w:rsidRDefault="00AC66FC" w:rsidP="0018365F">
            <w:pPr>
              <w:keepNext/>
              <w:spacing w:line="240" w:lineRule="auto"/>
              <w:jc w:val="center"/>
              <w:rPr>
                <w:rFonts w:ascii="Calibri" w:eastAsia="Times New Roman" w:hAnsi="Calibri" w:cs="Calibri"/>
                <w:color w:val="000000"/>
                <w:sz w:val="14"/>
                <w:szCs w:val="14"/>
                <w:lang w:eastAsia="es-CR"/>
              </w:rPr>
            </w:pPr>
            <w:r w:rsidRPr="00AB7206">
              <w:rPr>
                <w:rFonts w:ascii="Calibri" w:eastAsia="Times New Roman" w:hAnsi="Calibri" w:cs="Calibri"/>
                <w:color w:val="000000"/>
                <w:sz w:val="14"/>
                <w:szCs w:val="14"/>
                <w:lang w:eastAsia="es-CR"/>
              </w:rPr>
              <w:t>Transmission Companies</w:t>
            </w:r>
          </w:p>
        </w:tc>
        <w:tc>
          <w:tcPr>
            <w:tcW w:w="699" w:type="pct"/>
            <w:tcBorders>
              <w:top w:val="single" w:sz="4" w:space="0" w:color="2F75B5"/>
              <w:left w:val="single" w:sz="4" w:space="0" w:color="2F75B5"/>
              <w:bottom w:val="single" w:sz="4" w:space="0" w:color="2F75B5"/>
              <w:right w:val="single" w:sz="4" w:space="0" w:color="2F75B5"/>
            </w:tcBorders>
            <w:shd w:val="clear" w:color="auto" w:fill="D9E1F2"/>
            <w:vAlign w:val="center"/>
            <w:hideMark/>
          </w:tcPr>
          <w:p w14:paraId="1EB81E4E" w14:textId="77777777" w:rsidR="00AC66FC" w:rsidRPr="00AB7206" w:rsidRDefault="00AC66FC" w:rsidP="0018365F">
            <w:pPr>
              <w:keepNext/>
              <w:spacing w:line="240" w:lineRule="auto"/>
              <w:jc w:val="center"/>
              <w:rPr>
                <w:rFonts w:ascii="Calibri" w:eastAsia="Times New Roman" w:hAnsi="Calibri" w:cs="Calibri"/>
                <w:color w:val="000000"/>
                <w:sz w:val="14"/>
                <w:szCs w:val="14"/>
                <w:lang w:eastAsia="es-CR"/>
              </w:rPr>
            </w:pPr>
            <w:r w:rsidRPr="00AB7206">
              <w:rPr>
                <w:rFonts w:ascii="Calibri" w:eastAsia="Times New Roman" w:hAnsi="Calibri" w:cs="Calibri"/>
                <w:color w:val="000000"/>
                <w:sz w:val="14"/>
                <w:szCs w:val="14"/>
                <w:lang w:eastAsia="es-CR"/>
              </w:rPr>
              <w:t>(ETCEE-INDE)</w:t>
            </w:r>
            <w:r w:rsidRPr="00AB7206">
              <w:rPr>
                <w:rFonts w:ascii="Calibri" w:eastAsia="Times New Roman" w:hAnsi="Calibri" w:cs="Calibri"/>
                <w:color w:val="000000"/>
                <w:sz w:val="14"/>
                <w:szCs w:val="14"/>
                <w:lang w:eastAsia="es-CR"/>
              </w:rPr>
              <w:br/>
              <w:t xml:space="preserve"> (TRELEC)</w:t>
            </w:r>
            <w:r w:rsidRPr="00AB7206">
              <w:rPr>
                <w:rFonts w:ascii="Calibri" w:eastAsia="Times New Roman" w:hAnsi="Calibri" w:cs="Calibri"/>
                <w:color w:val="000000"/>
                <w:sz w:val="14"/>
                <w:szCs w:val="14"/>
                <w:lang w:eastAsia="es-CR"/>
              </w:rPr>
              <w:br/>
              <w:t>(Duke Energy)</w:t>
            </w:r>
          </w:p>
        </w:tc>
        <w:tc>
          <w:tcPr>
            <w:tcW w:w="699" w:type="pct"/>
            <w:tcBorders>
              <w:top w:val="single" w:sz="4" w:space="0" w:color="2F75B5"/>
              <w:left w:val="single" w:sz="4" w:space="0" w:color="2F75B5"/>
              <w:bottom w:val="single" w:sz="4" w:space="0" w:color="2F75B5"/>
              <w:right w:val="single" w:sz="4" w:space="0" w:color="2F75B5"/>
            </w:tcBorders>
            <w:shd w:val="clear" w:color="auto" w:fill="D9E1F2"/>
            <w:vAlign w:val="center"/>
            <w:hideMark/>
          </w:tcPr>
          <w:p w14:paraId="186F48EA" w14:textId="77777777" w:rsidR="00AC66FC" w:rsidRPr="00AB7206" w:rsidRDefault="00AC66FC" w:rsidP="0018365F">
            <w:pPr>
              <w:keepNext/>
              <w:spacing w:line="240" w:lineRule="auto"/>
              <w:jc w:val="center"/>
              <w:rPr>
                <w:rFonts w:ascii="Calibri" w:eastAsia="Times New Roman" w:hAnsi="Calibri" w:cs="Calibri"/>
                <w:color w:val="000000"/>
                <w:sz w:val="14"/>
                <w:szCs w:val="14"/>
                <w:lang w:eastAsia="es-CR"/>
              </w:rPr>
            </w:pPr>
            <w:r w:rsidRPr="00AB7206">
              <w:rPr>
                <w:rFonts w:ascii="Calibri" w:eastAsia="Times New Roman" w:hAnsi="Calibri" w:cs="Calibri"/>
                <w:color w:val="000000"/>
                <w:sz w:val="14"/>
                <w:szCs w:val="14"/>
                <w:lang w:eastAsia="es-CR"/>
              </w:rPr>
              <w:t>National Electrical Energy Company (ENEE)</w:t>
            </w:r>
          </w:p>
        </w:tc>
        <w:tc>
          <w:tcPr>
            <w:tcW w:w="900" w:type="pct"/>
            <w:tcBorders>
              <w:top w:val="single" w:sz="4" w:space="0" w:color="2F75B5"/>
              <w:left w:val="single" w:sz="4" w:space="0" w:color="2F75B5"/>
              <w:bottom w:val="single" w:sz="4" w:space="0" w:color="2F75B5"/>
              <w:right w:val="single" w:sz="4" w:space="0" w:color="2F75B5"/>
            </w:tcBorders>
            <w:shd w:val="clear" w:color="auto" w:fill="D9E1F2"/>
            <w:vAlign w:val="center"/>
            <w:hideMark/>
          </w:tcPr>
          <w:p w14:paraId="004D03CA" w14:textId="24F47186" w:rsidR="00AC66FC" w:rsidRPr="00BA1107" w:rsidRDefault="00AC66FC" w:rsidP="0018365F">
            <w:pPr>
              <w:keepNext/>
              <w:spacing w:line="240" w:lineRule="auto"/>
              <w:jc w:val="center"/>
              <w:rPr>
                <w:rFonts w:ascii="Calibri" w:eastAsia="Times New Roman" w:hAnsi="Calibri" w:cs="Calibri"/>
                <w:color w:val="000000"/>
                <w:sz w:val="14"/>
                <w:szCs w:val="14"/>
                <w:lang w:val="es-CR" w:eastAsia="es-CR"/>
              </w:rPr>
            </w:pPr>
            <w:r w:rsidRPr="00BA1107">
              <w:rPr>
                <w:rFonts w:ascii="Calibri" w:eastAsia="Times New Roman" w:hAnsi="Calibri" w:cs="Calibri"/>
                <w:color w:val="000000"/>
                <w:sz w:val="14"/>
                <w:szCs w:val="14"/>
                <w:lang w:val="es-CR" w:eastAsia="es-CR"/>
              </w:rPr>
              <w:t xml:space="preserve">El Salvador </w:t>
            </w:r>
            <w:r w:rsidRPr="006658F5">
              <w:rPr>
                <w:rFonts w:ascii="Calibri" w:eastAsia="Times New Roman" w:hAnsi="Calibri" w:cs="Calibri"/>
                <w:color w:val="000000"/>
                <w:sz w:val="14"/>
                <w:szCs w:val="14"/>
                <w:lang w:val="es-CR" w:eastAsia="es-CR"/>
              </w:rPr>
              <w:t>Transmi</w:t>
            </w:r>
            <w:r w:rsidR="00BA1107" w:rsidRPr="006658F5">
              <w:rPr>
                <w:rFonts w:ascii="Calibri" w:eastAsia="Times New Roman" w:hAnsi="Calibri" w:cs="Calibri"/>
                <w:color w:val="000000"/>
                <w:sz w:val="14"/>
                <w:szCs w:val="14"/>
                <w:lang w:val="es-CR" w:eastAsia="es-CR"/>
              </w:rPr>
              <w:t>ssion</w:t>
            </w:r>
            <w:r w:rsidR="00BA1107" w:rsidRPr="00BA1107">
              <w:rPr>
                <w:rFonts w:ascii="Calibri" w:eastAsia="Times New Roman" w:hAnsi="Calibri" w:cs="Calibri"/>
                <w:color w:val="000000"/>
                <w:sz w:val="14"/>
                <w:szCs w:val="14"/>
                <w:lang w:val="es-CR" w:eastAsia="es-CR"/>
              </w:rPr>
              <w:t xml:space="preserve"> </w:t>
            </w:r>
            <w:r w:rsidRPr="00BA1107">
              <w:rPr>
                <w:rFonts w:ascii="Calibri" w:eastAsia="Times New Roman" w:hAnsi="Calibri" w:cs="Calibri"/>
                <w:color w:val="000000"/>
                <w:sz w:val="14"/>
                <w:szCs w:val="14"/>
                <w:lang w:val="es-CR" w:eastAsia="es-CR"/>
              </w:rPr>
              <w:t>Company (ETESAL)</w:t>
            </w:r>
          </w:p>
        </w:tc>
        <w:tc>
          <w:tcPr>
            <w:tcW w:w="699" w:type="pct"/>
            <w:tcBorders>
              <w:top w:val="single" w:sz="4" w:space="0" w:color="2F75B5"/>
              <w:left w:val="single" w:sz="4" w:space="0" w:color="2F75B5"/>
              <w:bottom w:val="single" w:sz="4" w:space="0" w:color="2F75B5"/>
              <w:right w:val="single" w:sz="4" w:space="0" w:color="2F75B5"/>
            </w:tcBorders>
            <w:shd w:val="clear" w:color="auto" w:fill="D9E1F2"/>
            <w:vAlign w:val="center"/>
            <w:hideMark/>
          </w:tcPr>
          <w:p w14:paraId="25971A80" w14:textId="77777777" w:rsidR="00AC66FC" w:rsidRPr="00AB7206" w:rsidRDefault="00AC66FC" w:rsidP="0018365F">
            <w:pPr>
              <w:keepNext/>
              <w:spacing w:line="240" w:lineRule="auto"/>
              <w:jc w:val="center"/>
              <w:rPr>
                <w:rFonts w:ascii="Calibri" w:eastAsia="Times New Roman" w:hAnsi="Calibri" w:cs="Calibri"/>
                <w:color w:val="000000"/>
                <w:sz w:val="14"/>
                <w:szCs w:val="14"/>
                <w:lang w:eastAsia="es-CR"/>
              </w:rPr>
            </w:pPr>
            <w:r w:rsidRPr="00AB7206">
              <w:rPr>
                <w:rFonts w:ascii="Calibri" w:eastAsia="Times New Roman" w:hAnsi="Calibri" w:cs="Calibri"/>
                <w:color w:val="000000"/>
                <w:sz w:val="14"/>
                <w:szCs w:val="14"/>
                <w:lang w:eastAsia="es-CR"/>
              </w:rPr>
              <w:t>National Electric Transmission Company (ENATREL)</w:t>
            </w:r>
          </w:p>
        </w:tc>
        <w:tc>
          <w:tcPr>
            <w:tcW w:w="699" w:type="pct"/>
            <w:tcBorders>
              <w:top w:val="single" w:sz="4" w:space="0" w:color="2F75B5"/>
              <w:left w:val="single" w:sz="4" w:space="0" w:color="2F75B5"/>
              <w:bottom w:val="single" w:sz="4" w:space="0" w:color="2F75B5"/>
              <w:right w:val="single" w:sz="4" w:space="0" w:color="2F75B5"/>
            </w:tcBorders>
            <w:shd w:val="clear" w:color="auto" w:fill="D9E1F2"/>
            <w:vAlign w:val="center"/>
            <w:hideMark/>
          </w:tcPr>
          <w:p w14:paraId="30E06A3B" w14:textId="77777777" w:rsidR="00AC66FC" w:rsidRPr="00AB7206" w:rsidRDefault="00AC66FC" w:rsidP="0018365F">
            <w:pPr>
              <w:keepNext/>
              <w:spacing w:line="240" w:lineRule="auto"/>
              <w:jc w:val="center"/>
              <w:rPr>
                <w:rFonts w:ascii="Calibri" w:eastAsia="Times New Roman" w:hAnsi="Calibri" w:cs="Calibri"/>
                <w:color w:val="000000"/>
                <w:sz w:val="14"/>
                <w:szCs w:val="14"/>
                <w:lang w:eastAsia="es-CR"/>
              </w:rPr>
            </w:pPr>
            <w:r w:rsidRPr="00AB7206">
              <w:rPr>
                <w:rFonts w:ascii="Calibri" w:eastAsia="Times New Roman" w:hAnsi="Calibri" w:cs="Calibri"/>
                <w:color w:val="000000"/>
                <w:sz w:val="14"/>
                <w:szCs w:val="14"/>
                <w:lang w:eastAsia="es-CR"/>
              </w:rPr>
              <w:t>Costa Rican Electricity Institute (ICE)</w:t>
            </w:r>
          </w:p>
        </w:tc>
        <w:tc>
          <w:tcPr>
            <w:tcW w:w="697" w:type="pct"/>
            <w:tcBorders>
              <w:top w:val="single" w:sz="4" w:space="0" w:color="2F75B5"/>
              <w:left w:val="single" w:sz="4" w:space="0" w:color="2F75B5"/>
              <w:bottom w:val="single" w:sz="4" w:space="0" w:color="2F75B5"/>
              <w:right w:val="single" w:sz="8" w:space="0" w:color="2F75B5"/>
            </w:tcBorders>
            <w:shd w:val="clear" w:color="auto" w:fill="D9E1F2"/>
            <w:vAlign w:val="center"/>
            <w:hideMark/>
          </w:tcPr>
          <w:p w14:paraId="2C583778" w14:textId="77777777" w:rsidR="00AC66FC" w:rsidRPr="00AB7206" w:rsidRDefault="00AC66FC" w:rsidP="0018365F">
            <w:pPr>
              <w:keepNext/>
              <w:spacing w:line="240" w:lineRule="auto"/>
              <w:jc w:val="center"/>
              <w:rPr>
                <w:rFonts w:ascii="Calibri" w:eastAsia="Times New Roman" w:hAnsi="Calibri" w:cs="Calibri"/>
                <w:color w:val="000000"/>
                <w:sz w:val="14"/>
                <w:szCs w:val="14"/>
                <w:lang w:eastAsia="es-CR"/>
              </w:rPr>
            </w:pPr>
            <w:r w:rsidRPr="00AB7206">
              <w:rPr>
                <w:rFonts w:ascii="Calibri" w:eastAsia="Times New Roman" w:hAnsi="Calibri" w:cs="Calibri"/>
                <w:color w:val="000000"/>
                <w:sz w:val="14"/>
                <w:szCs w:val="14"/>
                <w:lang w:eastAsia="es-CR"/>
              </w:rPr>
              <w:t>Electric Transmission Company (ETESA)</w:t>
            </w:r>
          </w:p>
        </w:tc>
      </w:tr>
      <w:tr w:rsidR="00AC66FC" w:rsidRPr="00AB7206" w14:paraId="4A37BF7B" w14:textId="77777777" w:rsidTr="00B526D8">
        <w:trPr>
          <w:trHeight w:val="1110"/>
        </w:trPr>
        <w:tc>
          <w:tcPr>
            <w:tcW w:w="606" w:type="pct"/>
            <w:tcBorders>
              <w:top w:val="single" w:sz="4" w:space="0" w:color="2F75B5"/>
              <w:left w:val="single" w:sz="8" w:space="0" w:color="2F75B5"/>
              <w:bottom w:val="single" w:sz="4" w:space="0" w:color="2F75B5"/>
              <w:right w:val="single" w:sz="4" w:space="0" w:color="2F75B5"/>
            </w:tcBorders>
            <w:vAlign w:val="center"/>
            <w:hideMark/>
          </w:tcPr>
          <w:p w14:paraId="0390A6B7" w14:textId="77777777" w:rsidR="00AC66FC" w:rsidRPr="00AB7206" w:rsidRDefault="00AC66FC" w:rsidP="0018365F">
            <w:pPr>
              <w:keepNext/>
              <w:spacing w:line="240" w:lineRule="auto"/>
              <w:jc w:val="center"/>
              <w:rPr>
                <w:rFonts w:ascii="Calibri" w:eastAsia="Times New Roman" w:hAnsi="Calibri" w:cs="Calibri"/>
                <w:color w:val="000000"/>
                <w:sz w:val="14"/>
                <w:szCs w:val="14"/>
                <w:lang w:eastAsia="es-CR"/>
              </w:rPr>
            </w:pPr>
            <w:r w:rsidRPr="00AB7206">
              <w:rPr>
                <w:rFonts w:ascii="Calibri" w:eastAsia="Times New Roman" w:hAnsi="Calibri" w:cs="Calibri"/>
                <w:color w:val="000000"/>
                <w:sz w:val="14"/>
                <w:szCs w:val="14"/>
                <w:lang w:eastAsia="es-CR"/>
              </w:rPr>
              <w:t>Distribution Companies</w:t>
            </w:r>
          </w:p>
        </w:tc>
        <w:tc>
          <w:tcPr>
            <w:tcW w:w="699" w:type="pct"/>
            <w:tcBorders>
              <w:top w:val="single" w:sz="4" w:space="0" w:color="2F75B5"/>
              <w:left w:val="single" w:sz="4" w:space="0" w:color="2F75B5"/>
              <w:bottom w:val="single" w:sz="4" w:space="0" w:color="2F75B5"/>
              <w:right w:val="single" w:sz="4" w:space="0" w:color="2F75B5"/>
            </w:tcBorders>
            <w:vAlign w:val="center"/>
            <w:hideMark/>
          </w:tcPr>
          <w:p w14:paraId="5F587752" w14:textId="1E446E5C" w:rsidR="00AC66FC" w:rsidRPr="00CB4732" w:rsidRDefault="00AC66FC" w:rsidP="0018365F">
            <w:pPr>
              <w:keepNext/>
              <w:spacing w:line="240" w:lineRule="auto"/>
              <w:jc w:val="center"/>
              <w:rPr>
                <w:rFonts w:ascii="Calibri" w:eastAsia="Times New Roman" w:hAnsi="Calibri" w:cs="Calibri"/>
                <w:color w:val="000000"/>
                <w:sz w:val="14"/>
                <w:szCs w:val="14"/>
                <w:lang w:val="es-CR" w:eastAsia="es-CR"/>
              </w:rPr>
            </w:pPr>
            <w:r w:rsidRPr="00CB4732">
              <w:rPr>
                <w:rFonts w:ascii="Calibri" w:eastAsia="Times New Roman" w:hAnsi="Calibri" w:cs="Calibri"/>
                <w:color w:val="000000"/>
                <w:sz w:val="14"/>
                <w:szCs w:val="14"/>
                <w:lang w:val="es-CR" w:eastAsia="es-CR"/>
              </w:rPr>
              <w:t>EEGESA</w:t>
            </w:r>
            <w:r w:rsidRPr="00CB4732">
              <w:rPr>
                <w:rFonts w:ascii="Calibri" w:eastAsia="Times New Roman" w:hAnsi="Calibri" w:cs="Calibri"/>
                <w:color w:val="000000"/>
                <w:sz w:val="14"/>
                <w:szCs w:val="14"/>
                <w:lang w:val="es-CR" w:eastAsia="es-CR"/>
              </w:rPr>
              <w:br/>
              <w:t>DEORSA - DEOCSA</w:t>
            </w:r>
            <w:r w:rsidRPr="00CB4732">
              <w:rPr>
                <w:rFonts w:ascii="Calibri" w:eastAsia="Times New Roman" w:hAnsi="Calibri" w:cs="Calibri"/>
                <w:color w:val="000000"/>
                <w:sz w:val="14"/>
                <w:szCs w:val="14"/>
                <w:lang w:val="es-CR" w:eastAsia="es-CR"/>
              </w:rPr>
              <w:br/>
              <w:t xml:space="preserve">16 Municipal </w:t>
            </w:r>
            <w:r w:rsidR="00BA1107" w:rsidRPr="006658F5">
              <w:rPr>
                <w:rFonts w:ascii="Calibri" w:eastAsia="Times New Roman" w:hAnsi="Calibri" w:cs="Calibri"/>
                <w:color w:val="000000"/>
                <w:sz w:val="14"/>
                <w:szCs w:val="14"/>
                <w:lang w:val="es-CR" w:eastAsia="es-CR"/>
              </w:rPr>
              <w:t>C</w:t>
            </w:r>
            <w:r w:rsidRPr="006658F5">
              <w:rPr>
                <w:rFonts w:ascii="Calibri" w:eastAsia="Times New Roman" w:hAnsi="Calibri" w:cs="Calibri"/>
                <w:color w:val="000000"/>
                <w:sz w:val="14"/>
                <w:szCs w:val="14"/>
                <w:lang w:val="es-CR" w:eastAsia="es-CR"/>
              </w:rPr>
              <w:t>ompanies</w:t>
            </w:r>
          </w:p>
        </w:tc>
        <w:tc>
          <w:tcPr>
            <w:tcW w:w="699" w:type="pct"/>
            <w:tcBorders>
              <w:top w:val="single" w:sz="4" w:space="0" w:color="2F75B5"/>
              <w:left w:val="single" w:sz="4" w:space="0" w:color="2F75B5"/>
              <w:bottom w:val="single" w:sz="4" w:space="0" w:color="2F75B5"/>
              <w:right w:val="single" w:sz="4" w:space="0" w:color="2F75B5"/>
            </w:tcBorders>
            <w:vAlign w:val="center"/>
            <w:hideMark/>
          </w:tcPr>
          <w:p w14:paraId="5FE67182" w14:textId="77777777" w:rsidR="00AC66FC" w:rsidRPr="00AB7206" w:rsidRDefault="00AC66FC" w:rsidP="0018365F">
            <w:pPr>
              <w:keepNext/>
              <w:spacing w:line="240" w:lineRule="auto"/>
              <w:jc w:val="center"/>
              <w:rPr>
                <w:rFonts w:ascii="Calibri" w:eastAsia="Times New Roman" w:hAnsi="Calibri" w:cs="Calibri"/>
                <w:color w:val="000000"/>
                <w:sz w:val="14"/>
                <w:szCs w:val="14"/>
                <w:lang w:eastAsia="es-CR"/>
              </w:rPr>
            </w:pPr>
            <w:r w:rsidRPr="00AB7206">
              <w:rPr>
                <w:rFonts w:ascii="Calibri" w:eastAsia="Times New Roman" w:hAnsi="Calibri" w:cs="Calibri"/>
                <w:color w:val="000000"/>
                <w:sz w:val="14"/>
                <w:szCs w:val="14"/>
                <w:lang w:eastAsia="es-CR"/>
              </w:rPr>
              <w:t>National Electrical Energy Company (ENEE)</w:t>
            </w:r>
          </w:p>
        </w:tc>
        <w:tc>
          <w:tcPr>
            <w:tcW w:w="900" w:type="pct"/>
            <w:tcBorders>
              <w:top w:val="single" w:sz="4" w:space="0" w:color="2F75B5"/>
              <w:left w:val="single" w:sz="4" w:space="0" w:color="2F75B5"/>
              <w:bottom w:val="single" w:sz="4" w:space="0" w:color="2F75B5"/>
              <w:right w:val="single" w:sz="4" w:space="0" w:color="2F75B5"/>
            </w:tcBorders>
            <w:vAlign w:val="center"/>
            <w:hideMark/>
          </w:tcPr>
          <w:p w14:paraId="269D7792" w14:textId="77777777" w:rsidR="00AC66FC" w:rsidRPr="00AB7206" w:rsidRDefault="00AC66FC" w:rsidP="0018365F">
            <w:pPr>
              <w:keepNext/>
              <w:spacing w:line="240" w:lineRule="auto"/>
              <w:jc w:val="center"/>
              <w:rPr>
                <w:rFonts w:ascii="Calibri" w:eastAsia="Times New Roman" w:hAnsi="Calibri" w:cs="Calibri"/>
                <w:color w:val="000000"/>
                <w:sz w:val="14"/>
                <w:szCs w:val="14"/>
                <w:lang w:eastAsia="es-CR"/>
              </w:rPr>
            </w:pPr>
            <w:r w:rsidRPr="00AB7206">
              <w:rPr>
                <w:rFonts w:ascii="Calibri" w:eastAsia="Times New Roman" w:hAnsi="Calibri" w:cs="Calibri"/>
                <w:color w:val="000000"/>
                <w:sz w:val="14"/>
                <w:szCs w:val="14"/>
                <w:lang w:eastAsia="es-CR"/>
              </w:rPr>
              <w:t xml:space="preserve">AES Group, DELSUR, EDESAL, ABRUZZO, B&amp;D  </w:t>
            </w:r>
          </w:p>
        </w:tc>
        <w:tc>
          <w:tcPr>
            <w:tcW w:w="699" w:type="pct"/>
            <w:tcBorders>
              <w:top w:val="single" w:sz="4" w:space="0" w:color="2F75B5"/>
              <w:left w:val="single" w:sz="4" w:space="0" w:color="2F75B5"/>
              <w:bottom w:val="single" w:sz="4" w:space="0" w:color="2F75B5"/>
              <w:right w:val="single" w:sz="4" w:space="0" w:color="2F75B5"/>
            </w:tcBorders>
            <w:vAlign w:val="center"/>
            <w:hideMark/>
          </w:tcPr>
          <w:p w14:paraId="0200F2BC" w14:textId="77777777" w:rsidR="00AC66FC" w:rsidRPr="00AB7206" w:rsidRDefault="00AC66FC" w:rsidP="0018365F">
            <w:pPr>
              <w:keepNext/>
              <w:spacing w:line="240" w:lineRule="auto"/>
              <w:jc w:val="center"/>
              <w:rPr>
                <w:rFonts w:ascii="Calibri" w:eastAsia="Times New Roman" w:hAnsi="Calibri" w:cs="Calibri"/>
                <w:color w:val="000000"/>
                <w:sz w:val="14"/>
                <w:szCs w:val="14"/>
                <w:lang w:eastAsia="es-CR"/>
              </w:rPr>
            </w:pPr>
            <w:r w:rsidRPr="00AB7206">
              <w:rPr>
                <w:rFonts w:ascii="Calibri" w:eastAsia="Times New Roman" w:hAnsi="Calibri" w:cs="Calibri"/>
                <w:color w:val="000000"/>
                <w:sz w:val="14"/>
                <w:szCs w:val="14"/>
                <w:lang w:eastAsia="es-CR"/>
              </w:rPr>
              <w:t>ENEL + 12</w:t>
            </w:r>
          </w:p>
        </w:tc>
        <w:tc>
          <w:tcPr>
            <w:tcW w:w="699" w:type="pct"/>
            <w:tcBorders>
              <w:top w:val="single" w:sz="4" w:space="0" w:color="2F75B5"/>
              <w:left w:val="single" w:sz="4" w:space="0" w:color="2F75B5"/>
              <w:bottom w:val="single" w:sz="4" w:space="0" w:color="2F75B5"/>
              <w:right w:val="single" w:sz="4" w:space="0" w:color="2F75B5"/>
            </w:tcBorders>
            <w:vAlign w:val="center"/>
            <w:hideMark/>
          </w:tcPr>
          <w:p w14:paraId="796CCFD7" w14:textId="77777777" w:rsidR="00AC66FC" w:rsidRPr="00AB7206" w:rsidRDefault="00AC66FC" w:rsidP="0018365F">
            <w:pPr>
              <w:keepNext/>
              <w:spacing w:line="240" w:lineRule="auto"/>
              <w:jc w:val="center"/>
              <w:rPr>
                <w:rFonts w:ascii="Calibri" w:eastAsia="Times New Roman" w:hAnsi="Calibri" w:cs="Calibri"/>
                <w:color w:val="000000"/>
                <w:sz w:val="14"/>
                <w:szCs w:val="14"/>
                <w:lang w:eastAsia="es-CR"/>
              </w:rPr>
            </w:pPr>
            <w:r w:rsidRPr="00AB7206">
              <w:rPr>
                <w:rFonts w:ascii="Calibri" w:eastAsia="Times New Roman" w:hAnsi="Calibri" w:cs="Calibri"/>
                <w:color w:val="000000"/>
                <w:sz w:val="14"/>
                <w:szCs w:val="14"/>
                <w:lang w:eastAsia="es-CR"/>
              </w:rPr>
              <w:t xml:space="preserve"> ICE + 7 </w:t>
            </w:r>
          </w:p>
        </w:tc>
        <w:tc>
          <w:tcPr>
            <w:tcW w:w="697" w:type="pct"/>
            <w:tcBorders>
              <w:top w:val="single" w:sz="4" w:space="0" w:color="2F75B5"/>
              <w:left w:val="single" w:sz="4" w:space="0" w:color="2F75B5"/>
              <w:bottom w:val="single" w:sz="4" w:space="0" w:color="2F75B5"/>
              <w:right w:val="single" w:sz="8" w:space="0" w:color="2F75B5"/>
            </w:tcBorders>
            <w:vAlign w:val="center"/>
            <w:hideMark/>
          </w:tcPr>
          <w:p w14:paraId="5E6E5820" w14:textId="77777777" w:rsidR="00AC66FC" w:rsidRPr="00AB7206" w:rsidRDefault="00AC66FC" w:rsidP="0018365F">
            <w:pPr>
              <w:keepNext/>
              <w:spacing w:line="240" w:lineRule="auto"/>
              <w:jc w:val="center"/>
              <w:rPr>
                <w:rFonts w:ascii="Calibri" w:eastAsia="Times New Roman" w:hAnsi="Calibri" w:cs="Calibri"/>
                <w:color w:val="000000"/>
                <w:sz w:val="14"/>
                <w:szCs w:val="14"/>
                <w:lang w:eastAsia="es-CR"/>
              </w:rPr>
            </w:pPr>
            <w:r w:rsidRPr="00AB7206">
              <w:rPr>
                <w:rFonts w:ascii="Calibri" w:eastAsia="Times New Roman" w:hAnsi="Calibri" w:cs="Calibri"/>
                <w:color w:val="000000"/>
                <w:sz w:val="14"/>
                <w:szCs w:val="14"/>
                <w:lang w:eastAsia="es-CR"/>
              </w:rPr>
              <w:t xml:space="preserve"> ENSA</w:t>
            </w:r>
            <w:r w:rsidRPr="00AB7206">
              <w:rPr>
                <w:rFonts w:ascii="Calibri" w:eastAsia="Times New Roman" w:hAnsi="Calibri" w:cs="Calibri"/>
                <w:color w:val="000000"/>
                <w:sz w:val="14"/>
                <w:szCs w:val="14"/>
                <w:lang w:eastAsia="es-CR"/>
              </w:rPr>
              <w:br/>
              <w:t>EDEMET</w:t>
            </w:r>
            <w:r w:rsidRPr="00AB7206">
              <w:rPr>
                <w:rFonts w:ascii="Calibri" w:eastAsia="Times New Roman" w:hAnsi="Calibri" w:cs="Calibri"/>
                <w:color w:val="000000"/>
                <w:sz w:val="14"/>
                <w:szCs w:val="14"/>
                <w:lang w:eastAsia="es-CR"/>
              </w:rPr>
              <w:br/>
              <w:t xml:space="preserve">EDECHI </w:t>
            </w:r>
          </w:p>
        </w:tc>
      </w:tr>
      <w:tr w:rsidR="00AC66FC" w:rsidRPr="00AB7206" w14:paraId="55927692" w14:textId="77777777" w:rsidTr="00B526D8">
        <w:trPr>
          <w:trHeight w:val="740"/>
        </w:trPr>
        <w:tc>
          <w:tcPr>
            <w:tcW w:w="606" w:type="pct"/>
            <w:tcBorders>
              <w:top w:val="single" w:sz="4" w:space="0" w:color="2F75B5"/>
              <w:left w:val="single" w:sz="8" w:space="0" w:color="2F75B5"/>
              <w:bottom w:val="single" w:sz="8" w:space="0" w:color="2F75B5"/>
              <w:right w:val="single" w:sz="4" w:space="0" w:color="2F75B5"/>
            </w:tcBorders>
            <w:shd w:val="clear" w:color="auto" w:fill="D9E1F2"/>
            <w:vAlign w:val="center"/>
            <w:hideMark/>
          </w:tcPr>
          <w:p w14:paraId="57B9B530" w14:textId="77777777" w:rsidR="00AC66FC" w:rsidRPr="00AB7206" w:rsidRDefault="00AC66FC" w:rsidP="0018365F">
            <w:pPr>
              <w:keepNext/>
              <w:spacing w:line="240" w:lineRule="auto"/>
              <w:jc w:val="center"/>
              <w:rPr>
                <w:rFonts w:ascii="Calibri" w:eastAsia="Times New Roman" w:hAnsi="Calibri" w:cs="Calibri"/>
                <w:color w:val="000000"/>
                <w:sz w:val="14"/>
                <w:szCs w:val="14"/>
                <w:lang w:eastAsia="es-CR"/>
              </w:rPr>
            </w:pPr>
            <w:r w:rsidRPr="00AB7206">
              <w:rPr>
                <w:rFonts w:ascii="Calibri" w:eastAsia="Times New Roman" w:hAnsi="Calibri" w:cs="Calibri"/>
                <w:color w:val="000000"/>
                <w:sz w:val="14"/>
                <w:szCs w:val="14"/>
                <w:lang w:eastAsia="es-CR"/>
              </w:rPr>
              <w:t>Trading companies</w:t>
            </w:r>
          </w:p>
        </w:tc>
        <w:tc>
          <w:tcPr>
            <w:tcW w:w="699" w:type="pct"/>
            <w:tcBorders>
              <w:top w:val="single" w:sz="4" w:space="0" w:color="2F75B5"/>
              <w:left w:val="single" w:sz="4" w:space="0" w:color="2F75B5"/>
              <w:bottom w:val="single" w:sz="8" w:space="0" w:color="2F75B5"/>
              <w:right w:val="single" w:sz="4" w:space="0" w:color="2F75B5"/>
            </w:tcBorders>
            <w:shd w:val="clear" w:color="auto" w:fill="D9E1F2"/>
            <w:vAlign w:val="center"/>
            <w:hideMark/>
          </w:tcPr>
          <w:p w14:paraId="0A68D4AC" w14:textId="77777777" w:rsidR="00AC66FC" w:rsidRPr="00AB7206" w:rsidRDefault="00AC66FC" w:rsidP="0018365F">
            <w:pPr>
              <w:keepNext/>
              <w:spacing w:line="240" w:lineRule="auto"/>
              <w:jc w:val="center"/>
              <w:rPr>
                <w:rFonts w:ascii="Calibri" w:eastAsia="Times New Roman" w:hAnsi="Calibri" w:cs="Calibri"/>
                <w:color w:val="000000"/>
                <w:sz w:val="14"/>
                <w:szCs w:val="14"/>
                <w:lang w:eastAsia="es-CR"/>
              </w:rPr>
            </w:pPr>
            <w:r w:rsidRPr="00AB7206">
              <w:rPr>
                <w:rFonts w:ascii="Calibri" w:eastAsia="Times New Roman" w:hAnsi="Calibri" w:cs="Calibri"/>
                <w:color w:val="000000"/>
                <w:sz w:val="14"/>
                <w:szCs w:val="14"/>
                <w:lang w:eastAsia="es-CR"/>
              </w:rPr>
              <w:t>Electric Power Trading Company (ECOE-INDE)</w:t>
            </w:r>
          </w:p>
        </w:tc>
        <w:tc>
          <w:tcPr>
            <w:tcW w:w="699" w:type="pct"/>
            <w:tcBorders>
              <w:top w:val="single" w:sz="4" w:space="0" w:color="2F75B5"/>
              <w:left w:val="single" w:sz="4" w:space="0" w:color="2F75B5"/>
              <w:bottom w:val="single" w:sz="8" w:space="0" w:color="2F75B5"/>
              <w:right w:val="single" w:sz="4" w:space="0" w:color="2F75B5"/>
            </w:tcBorders>
            <w:shd w:val="clear" w:color="auto" w:fill="D9E1F2"/>
            <w:vAlign w:val="center"/>
            <w:hideMark/>
          </w:tcPr>
          <w:p w14:paraId="72B382FA" w14:textId="77777777" w:rsidR="00AC66FC" w:rsidRPr="00AB7206" w:rsidRDefault="00AC66FC" w:rsidP="0018365F">
            <w:pPr>
              <w:keepNext/>
              <w:spacing w:line="240" w:lineRule="auto"/>
              <w:jc w:val="center"/>
              <w:rPr>
                <w:rFonts w:ascii="Calibri" w:eastAsia="Times New Roman" w:hAnsi="Calibri" w:cs="Calibri"/>
                <w:color w:val="000000"/>
                <w:sz w:val="14"/>
                <w:szCs w:val="14"/>
                <w:lang w:eastAsia="es-CR"/>
              </w:rPr>
            </w:pPr>
            <w:r w:rsidRPr="00AB7206">
              <w:rPr>
                <w:rFonts w:ascii="Calibri" w:eastAsia="Times New Roman" w:hAnsi="Calibri" w:cs="Calibri"/>
                <w:color w:val="000000"/>
                <w:sz w:val="14"/>
                <w:szCs w:val="14"/>
                <w:lang w:eastAsia="es-CR"/>
              </w:rPr>
              <w:t>National Electrical Energy Company (ENEE)</w:t>
            </w:r>
          </w:p>
        </w:tc>
        <w:tc>
          <w:tcPr>
            <w:tcW w:w="900" w:type="pct"/>
            <w:tcBorders>
              <w:top w:val="single" w:sz="4" w:space="0" w:color="2F75B5"/>
              <w:left w:val="single" w:sz="4" w:space="0" w:color="2F75B5"/>
              <w:bottom w:val="single" w:sz="8" w:space="0" w:color="2F75B5"/>
              <w:right w:val="single" w:sz="4" w:space="0" w:color="2F75B5"/>
            </w:tcBorders>
            <w:shd w:val="clear" w:color="auto" w:fill="D9E1F2"/>
            <w:noWrap/>
            <w:vAlign w:val="center"/>
            <w:hideMark/>
          </w:tcPr>
          <w:p w14:paraId="6BB4AF5F" w14:textId="77777777" w:rsidR="00AC66FC" w:rsidRPr="00AB7206" w:rsidRDefault="00AC66FC" w:rsidP="0018365F">
            <w:pPr>
              <w:keepNext/>
              <w:spacing w:line="240" w:lineRule="auto"/>
              <w:jc w:val="center"/>
              <w:rPr>
                <w:rFonts w:ascii="Calibri" w:eastAsia="Times New Roman" w:hAnsi="Calibri" w:cs="Calibri"/>
                <w:color w:val="000000"/>
                <w:sz w:val="14"/>
                <w:szCs w:val="14"/>
                <w:lang w:eastAsia="es-CR"/>
              </w:rPr>
            </w:pPr>
            <w:r w:rsidRPr="00AB7206">
              <w:rPr>
                <w:rFonts w:ascii="Calibri" w:eastAsia="Times New Roman" w:hAnsi="Calibri" w:cs="Calibri"/>
                <w:color w:val="000000"/>
                <w:sz w:val="14"/>
                <w:szCs w:val="14"/>
                <w:lang w:eastAsia="es-CR"/>
              </w:rPr>
              <w:t>29</w:t>
            </w:r>
          </w:p>
        </w:tc>
        <w:tc>
          <w:tcPr>
            <w:tcW w:w="699" w:type="pct"/>
            <w:tcBorders>
              <w:top w:val="single" w:sz="4" w:space="0" w:color="2F75B5"/>
              <w:left w:val="single" w:sz="4" w:space="0" w:color="2F75B5"/>
              <w:bottom w:val="single" w:sz="8" w:space="0" w:color="2F75B5"/>
              <w:right w:val="single" w:sz="4" w:space="0" w:color="2F75B5"/>
            </w:tcBorders>
            <w:shd w:val="clear" w:color="auto" w:fill="D9E1F2"/>
            <w:vAlign w:val="center"/>
            <w:hideMark/>
          </w:tcPr>
          <w:p w14:paraId="0DB8C7C6" w14:textId="77777777" w:rsidR="00AC66FC" w:rsidRPr="00AB7206" w:rsidRDefault="00AC66FC" w:rsidP="0018365F">
            <w:pPr>
              <w:keepNext/>
              <w:spacing w:line="240" w:lineRule="auto"/>
              <w:jc w:val="center"/>
              <w:rPr>
                <w:rFonts w:ascii="Calibri" w:eastAsia="Times New Roman" w:hAnsi="Calibri" w:cs="Calibri"/>
                <w:color w:val="000000"/>
                <w:sz w:val="14"/>
                <w:szCs w:val="14"/>
                <w:lang w:eastAsia="es-CR"/>
              </w:rPr>
            </w:pPr>
            <w:r w:rsidRPr="00AB7206">
              <w:rPr>
                <w:rFonts w:ascii="Calibri" w:eastAsia="Times New Roman" w:hAnsi="Calibri" w:cs="Calibri"/>
                <w:color w:val="000000"/>
                <w:sz w:val="14"/>
                <w:szCs w:val="14"/>
                <w:lang w:eastAsia="es-CR"/>
              </w:rPr>
              <w:t xml:space="preserve"> --- </w:t>
            </w:r>
          </w:p>
        </w:tc>
        <w:tc>
          <w:tcPr>
            <w:tcW w:w="699" w:type="pct"/>
            <w:tcBorders>
              <w:top w:val="single" w:sz="4" w:space="0" w:color="2F75B5"/>
              <w:left w:val="single" w:sz="4" w:space="0" w:color="2F75B5"/>
              <w:bottom w:val="single" w:sz="8" w:space="0" w:color="2F75B5"/>
              <w:right w:val="single" w:sz="4" w:space="0" w:color="2F75B5"/>
            </w:tcBorders>
            <w:shd w:val="clear" w:color="auto" w:fill="D9E1F2"/>
            <w:vAlign w:val="center"/>
            <w:hideMark/>
          </w:tcPr>
          <w:p w14:paraId="04D4BEF1" w14:textId="77777777" w:rsidR="00AC66FC" w:rsidRPr="00AB7206" w:rsidRDefault="00AC66FC" w:rsidP="0018365F">
            <w:pPr>
              <w:keepNext/>
              <w:spacing w:line="240" w:lineRule="auto"/>
              <w:jc w:val="center"/>
              <w:rPr>
                <w:rFonts w:ascii="Calibri" w:eastAsia="Times New Roman" w:hAnsi="Calibri" w:cs="Calibri"/>
                <w:color w:val="000000"/>
                <w:sz w:val="14"/>
                <w:szCs w:val="14"/>
                <w:lang w:eastAsia="es-CR"/>
              </w:rPr>
            </w:pPr>
            <w:r w:rsidRPr="00AB7206">
              <w:rPr>
                <w:rFonts w:ascii="Calibri" w:eastAsia="Times New Roman" w:hAnsi="Calibri" w:cs="Calibri"/>
                <w:color w:val="000000"/>
                <w:sz w:val="14"/>
                <w:szCs w:val="14"/>
                <w:lang w:eastAsia="es-CR"/>
              </w:rPr>
              <w:t xml:space="preserve"> --- </w:t>
            </w:r>
          </w:p>
        </w:tc>
        <w:tc>
          <w:tcPr>
            <w:tcW w:w="697" w:type="pct"/>
            <w:tcBorders>
              <w:top w:val="single" w:sz="4" w:space="0" w:color="2F75B5"/>
              <w:left w:val="single" w:sz="4" w:space="0" w:color="2F75B5"/>
              <w:bottom w:val="single" w:sz="8" w:space="0" w:color="2F75B5"/>
              <w:right w:val="single" w:sz="8" w:space="0" w:color="2F75B5"/>
            </w:tcBorders>
            <w:shd w:val="clear" w:color="auto" w:fill="D9E1F2"/>
            <w:vAlign w:val="center"/>
            <w:hideMark/>
          </w:tcPr>
          <w:p w14:paraId="70ADC604" w14:textId="77777777" w:rsidR="00AC66FC" w:rsidRPr="00AB7206" w:rsidRDefault="00AC66FC" w:rsidP="0018365F">
            <w:pPr>
              <w:keepNext/>
              <w:spacing w:line="240" w:lineRule="auto"/>
              <w:jc w:val="center"/>
              <w:rPr>
                <w:rFonts w:ascii="Calibri" w:eastAsia="Times New Roman" w:hAnsi="Calibri" w:cs="Calibri"/>
                <w:color w:val="000000"/>
                <w:sz w:val="14"/>
                <w:szCs w:val="14"/>
                <w:lang w:eastAsia="es-CR"/>
              </w:rPr>
            </w:pPr>
            <w:r w:rsidRPr="00AB7206">
              <w:rPr>
                <w:rFonts w:ascii="Calibri" w:eastAsia="Times New Roman" w:hAnsi="Calibri" w:cs="Calibri"/>
                <w:color w:val="000000"/>
                <w:sz w:val="14"/>
                <w:szCs w:val="14"/>
                <w:lang w:eastAsia="es-CR"/>
              </w:rPr>
              <w:t xml:space="preserve"> --- </w:t>
            </w:r>
          </w:p>
        </w:tc>
      </w:tr>
    </w:tbl>
    <w:p w14:paraId="6EDBA743" w14:textId="77777777" w:rsidR="00AC66FC" w:rsidRPr="00CB4732" w:rsidRDefault="00AC66FC" w:rsidP="0018365F">
      <w:pPr>
        <w:keepNext/>
        <w:spacing w:line="240" w:lineRule="auto"/>
        <w:rPr>
          <w:rFonts w:eastAsia="Calibri" w:cs="Arial"/>
          <w:i/>
          <w:iCs/>
          <w:sz w:val="16"/>
          <w:szCs w:val="18"/>
          <w:lang w:val="es-CR"/>
        </w:rPr>
      </w:pPr>
      <w:r w:rsidRPr="00AB7206">
        <w:rPr>
          <w:rFonts w:eastAsia="Calibri" w:cs="Arial"/>
          <w:i/>
          <w:iCs/>
          <w:sz w:val="16"/>
          <w:szCs w:val="18"/>
        </w:rPr>
        <w:t xml:space="preserve">Source: Electricity Subsector Statics of the Central American Integration System (SICA) Countries  2019 -2020.- </w:t>
      </w:r>
      <w:r w:rsidRPr="00CB4732">
        <w:rPr>
          <w:rFonts w:eastAsia="Calibri" w:cs="Arial"/>
          <w:i/>
          <w:iCs/>
          <w:sz w:val="16"/>
          <w:szCs w:val="18"/>
          <w:lang w:val="es-CR"/>
        </w:rPr>
        <w:t>ECLAC;</w:t>
      </w:r>
    </w:p>
    <w:p w14:paraId="7BACA894" w14:textId="1BCF89D8" w:rsidR="00AC66FC" w:rsidRPr="00CB4732" w:rsidRDefault="00C25E2C" w:rsidP="0018365F">
      <w:pPr>
        <w:keepNext/>
        <w:spacing w:line="240" w:lineRule="auto"/>
        <w:rPr>
          <w:rFonts w:eastAsia="Calibri" w:cs="Arial"/>
          <w:i/>
          <w:iCs/>
          <w:sz w:val="16"/>
          <w:szCs w:val="18"/>
          <w:lang w:val="es-CR"/>
        </w:rPr>
      </w:pPr>
      <w:hyperlink r:id="rId31" w:history="1">
        <w:r w:rsidR="00AC66FC" w:rsidRPr="00CB4732">
          <w:rPr>
            <w:rFonts w:eastAsia="Calibri" w:cs="Arial"/>
            <w:i/>
            <w:iCs/>
            <w:color w:val="0563C1"/>
            <w:sz w:val="16"/>
            <w:szCs w:val="18"/>
            <w:u w:val="single"/>
            <w:lang w:val="es-CR"/>
          </w:rPr>
          <w:t>https://www.cnee.gob.gt/wp/generadores/</w:t>
        </w:r>
      </w:hyperlink>
      <w:r w:rsidR="00AC66FC" w:rsidRPr="00CB4732">
        <w:rPr>
          <w:rFonts w:eastAsia="Calibri" w:cs="Arial"/>
          <w:i/>
          <w:iCs/>
          <w:sz w:val="16"/>
          <w:szCs w:val="18"/>
          <w:lang w:val="es-CR"/>
        </w:rPr>
        <w:t xml:space="preserve">; </w:t>
      </w:r>
      <w:hyperlink r:id="rId32" w:history="1">
        <w:r w:rsidR="00AC66FC" w:rsidRPr="00CB4732">
          <w:rPr>
            <w:rFonts w:eastAsia="Calibri" w:cs="Arial"/>
            <w:i/>
            <w:iCs/>
            <w:color w:val="0563C1"/>
            <w:sz w:val="16"/>
            <w:szCs w:val="18"/>
            <w:u w:val="single"/>
            <w:lang w:val="es-CR"/>
          </w:rPr>
          <w:t>https://www.cree.gob.hn/registro-publico-de-empresas-del-sector-electrico/</w:t>
        </w:r>
      </w:hyperlink>
      <w:r w:rsidR="00AC66FC" w:rsidRPr="00CB4732">
        <w:rPr>
          <w:rFonts w:eastAsia="Calibri" w:cs="Arial"/>
          <w:i/>
          <w:iCs/>
          <w:sz w:val="16"/>
          <w:szCs w:val="18"/>
          <w:lang w:val="es-CR"/>
        </w:rPr>
        <w:t xml:space="preserve">; SIGET </w:t>
      </w:r>
      <w:r w:rsidR="00E55CCA" w:rsidRPr="00CB4732">
        <w:rPr>
          <w:rFonts w:eastAsia="Calibri" w:cs="Arial"/>
          <w:i/>
          <w:iCs/>
          <w:sz w:val="16"/>
          <w:szCs w:val="18"/>
          <w:lang w:val="es-CR"/>
        </w:rPr>
        <w:t xml:space="preserve">Mercado Electrico </w:t>
      </w:r>
      <w:r w:rsidR="00AC66FC" w:rsidRPr="00CB4732">
        <w:rPr>
          <w:rFonts w:eastAsia="Calibri" w:cs="Arial"/>
          <w:i/>
          <w:iCs/>
          <w:sz w:val="16"/>
          <w:szCs w:val="18"/>
          <w:lang w:val="es-CR"/>
        </w:rPr>
        <w:t xml:space="preserve">2020; </w:t>
      </w:r>
      <w:hyperlink r:id="rId33" w:history="1">
        <w:r w:rsidR="00AC66FC" w:rsidRPr="00CB4732">
          <w:rPr>
            <w:rFonts w:eastAsia="Calibri" w:cs="Arial"/>
            <w:i/>
            <w:iCs/>
            <w:color w:val="0563C1"/>
            <w:sz w:val="16"/>
            <w:szCs w:val="18"/>
            <w:u w:val="single"/>
            <w:lang w:val="es-CR"/>
          </w:rPr>
          <w:t>http://www.mem.gob.ni/?page_id=1445</w:t>
        </w:r>
      </w:hyperlink>
      <w:r w:rsidR="00AC66FC" w:rsidRPr="00CB4732">
        <w:rPr>
          <w:rFonts w:eastAsia="Calibri" w:cs="Arial"/>
          <w:i/>
          <w:iCs/>
          <w:sz w:val="16"/>
          <w:szCs w:val="18"/>
          <w:lang w:val="es-CR"/>
        </w:rPr>
        <w:t xml:space="preserve">; </w:t>
      </w:r>
      <w:hyperlink r:id="rId34" w:history="1">
        <w:r w:rsidR="00AC66FC" w:rsidRPr="00CB4732">
          <w:rPr>
            <w:rFonts w:eastAsia="Calibri" w:cs="Arial"/>
            <w:i/>
            <w:iCs/>
            <w:color w:val="0563C1"/>
            <w:sz w:val="16"/>
            <w:szCs w:val="18"/>
            <w:u w:val="single"/>
            <w:lang w:val="es-CR"/>
          </w:rPr>
          <w:t>https://apps.grupoice.com/CenceWeb/CenceDescargaArchivos.jsf?init=true&amp;categoria=1&amp;codigoTipoArchivo=1001</w:t>
        </w:r>
      </w:hyperlink>
      <w:r w:rsidR="00AC66FC" w:rsidRPr="00CB4732">
        <w:rPr>
          <w:rFonts w:eastAsia="Calibri" w:cs="Arial"/>
          <w:i/>
          <w:iCs/>
          <w:sz w:val="16"/>
          <w:szCs w:val="18"/>
          <w:lang w:val="es-CR"/>
        </w:rPr>
        <w:t>; https://www.cnd.com.pa/index.php/mercado-electrico/acerca-del-mercado-electrico/tipos-de-participantes.</w:t>
      </w:r>
    </w:p>
    <w:p w14:paraId="29CC1DB1" w14:textId="77777777" w:rsidR="00AC66FC" w:rsidRPr="00CB4732" w:rsidRDefault="00AC66FC" w:rsidP="00AC66FC">
      <w:pPr>
        <w:spacing w:line="240" w:lineRule="auto"/>
        <w:rPr>
          <w:rFonts w:eastAsia="Calibri" w:cs="Arial"/>
          <w:lang w:val="es-CR"/>
        </w:rPr>
      </w:pPr>
    </w:p>
    <w:p w14:paraId="169BE6BF" w14:textId="7CAD096D" w:rsidR="00AC66FC" w:rsidRPr="00AB7206" w:rsidRDefault="00AC66FC" w:rsidP="00AC66FC">
      <w:pPr>
        <w:spacing w:line="240" w:lineRule="auto"/>
        <w:rPr>
          <w:rFonts w:eastAsia="Calibri" w:cs="Arial"/>
        </w:rPr>
      </w:pPr>
      <w:r w:rsidRPr="00B317D5">
        <w:rPr>
          <w:rFonts w:eastAsia="Calibri" w:cs="Arial"/>
        </w:rPr>
        <w:t>The total installed power capacity in the region in 2</w:t>
      </w:r>
      <w:r w:rsidR="005A4380" w:rsidRPr="00B317D5">
        <w:rPr>
          <w:rFonts w:eastAsia="Calibri" w:cs="Arial"/>
        </w:rPr>
        <w:t>019</w:t>
      </w:r>
      <w:r w:rsidRPr="00B317D5">
        <w:rPr>
          <w:rFonts w:eastAsia="Calibri" w:cs="Arial"/>
        </w:rPr>
        <w:t xml:space="preserve"> </w:t>
      </w:r>
      <w:r w:rsidR="005A4380" w:rsidRPr="00B317D5">
        <w:rPr>
          <w:rFonts w:eastAsia="Calibri" w:cs="Arial"/>
        </w:rPr>
        <w:t>was</w:t>
      </w:r>
      <w:r w:rsidRPr="00B317D5">
        <w:rPr>
          <w:rFonts w:eastAsia="Calibri" w:cs="Arial"/>
        </w:rPr>
        <w:t xml:space="preserve"> 18,</w:t>
      </w:r>
      <w:r w:rsidR="005A4380" w:rsidRPr="00B317D5">
        <w:rPr>
          <w:rFonts w:eastAsia="Calibri" w:cs="Arial"/>
        </w:rPr>
        <w:t>370</w:t>
      </w:r>
      <w:r w:rsidRPr="00B317D5">
        <w:rPr>
          <w:rFonts w:eastAsia="Calibri" w:cs="Arial"/>
        </w:rPr>
        <w:t xml:space="preserve"> MW (</w:t>
      </w:r>
      <w:r w:rsidRPr="00B317D5">
        <w:rPr>
          <w:rFonts w:eastAsia="Calibri" w:cs="Arial"/>
        </w:rPr>
        <w:fldChar w:fldCharType="begin"/>
      </w:r>
      <w:r w:rsidRPr="00B317D5">
        <w:rPr>
          <w:rFonts w:eastAsia="Calibri" w:cs="Arial"/>
        </w:rPr>
        <w:instrText xml:space="preserve"> REF _Ref79879982 \h </w:instrText>
      </w:r>
      <w:r w:rsidR="00CB53C4" w:rsidRPr="00B317D5">
        <w:rPr>
          <w:rFonts w:eastAsia="Calibri" w:cs="Arial"/>
        </w:rPr>
        <w:instrText xml:space="preserve"> \* MERGEFORMAT </w:instrText>
      </w:r>
      <w:r w:rsidRPr="00B317D5">
        <w:rPr>
          <w:rFonts w:eastAsia="Calibri" w:cs="Arial"/>
        </w:rPr>
      </w:r>
      <w:r w:rsidRPr="00B317D5">
        <w:rPr>
          <w:rFonts w:eastAsia="Calibri" w:cs="Arial"/>
        </w:rPr>
        <w:fldChar w:fldCharType="separate"/>
      </w:r>
      <w:r w:rsidR="00D054D0" w:rsidRPr="00D054D0">
        <w:rPr>
          <w:rFonts w:eastAsia="Calibri" w:cs="Arial"/>
        </w:rPr>
        <w:t xml:space="preserve">Table </w:t>
      </w:r>
      <w:r w:rsidR="00D054D0" w:rsidRPr="00D054D0">
        <w:rPr>
          <w:rFonts w:eastAsia="Calibri" w:cs="Arial"/>
          <w:noProof/>
        </w:rPr>
        <w:t>9</w:t>
      </w:r>
      <w:r w:rsidRPr="00B317D5">
        <w:rPr>
          <w:rFonts w:eastAsia="Calibri" w:cs="Arial"/>
        </w:rPr>
        <w:fldChar w:fldCharType="end"/>
      </w:r>
      <w:r w:rsidRPr="00B317D5">
        <w:rPr>
          <w:rFonts w:eastAsia="Calibri" w:cs="Arial"/>
        </w:rPr>
        <w:t>), renewable energies represent</w:t>
      </w:r>
      <w:r w:rsidR="00714452" w:rsidRPr="00B317D5">
        <w:rPr>
          <w:rFonts w:eastAsia="Calibri" w:cs="Arial"/>
        </w:rPr>
        <w:t>ing</w:t>
      </w:r>
      <w:r w:rsidRPr="00B317D5">
        <w:rPr>
          <w:rFonts w:eastAsia="Calibri" w:cs="Arial"/>
        </w:rPr>
        <w:t xml:space="preserve"> 6</w:t>
      </w:r>
      <w:r w:rsidR="00CB53C4" w:rsidRPr="00B317D5">
        <w:rPr>
          <w:rFonts w:eastAsia="Calibri" w:cs="Arial"/>
        </w:rPr>
        <w:t>6</w:t>
      </w:r>
      <w:r w:rsidRPr="00B317D5">
        <w:rPr>
          <w:rFonts w:eastAsia="Calibri" w:cs="Arial"/>
        </w:rPr>
        <w:t>%, and 3</w:t>
      </w:r>
      <w:r w:rsidR="00CB53C4" w:rsidRPr="00B317D5">
        <w:rPr>
          <w:rFonts w:eastAsia="Calibri" w:cs="Arial"/>
        </w:rPr>
        <w:t>4</w:t>
      </w:r>
      <w:r w:rsidRPr="00B317D5">
        <w:rPr>
          <w:rFonts w:eastAsia="Calibri" w:cs="Arial"/>
        </w:rPr>
        <w:t>% correspond</w:t>
      </w:r>
      <w:r w:rsidR="00714452" w:rsidRPr="00B317D5">
        <w:rPr>
          <w:rFonts w:eastAsia="Calibri" w:cs="Arial"/>
        </w:rPr>
        <w:t>ing</w:t>
      </w:r>
      <w:r w:rsidRPr="00B317D5">
        <w:rPr>
          <w:rFonts w:eastAsia="Calibri" w:cs="Arial"/>
        </w:rPr>
        <w:t xml:space="preserve"> to conventional thermal plan</w:t>
      </w:r>
      <w:r w:rsidR="00CB53C4" w:rsidRPr="00B317D5">
        <w:rPr>
          <w:rFonts w:eastAsia="Calibri" w:cs="Arial"/>
        </w:rPr>
        <w:t>t</w:t>
      </w:r>
      <w:r w:rsidRPr="00B317D5">
        <w:rPr>
          <w:rFonts w:eastAsia="Calibri" w:cs="Arial"/>
        </w:rPr>
        <w:t>s. T</w:t>
      </w:r>
      <w:r w:rsidR="00714452" w:rsidRPr="00B317D5">
        <w:rPr>
          <w:rFonts w:eastAsia="Calibri" w:cs="Arial"/>
        </w:rPr>
        <w:t xml:space="preserve">otal generation amounted to </w:t>
      </w:r>
      <w:r w:rsidRPr="00B317D5">
        <w:rPr>
          <w:rFonts w:eastAsia="Calibri" w:cs="Arial"/>
        </w:rPr>
        <w:t>5</w:t>
      </w:r>
      <w:r w:rsidR="005A4380" w:rsidRPr="00B317D5">
        <w:rPr>
          <w:rFonts w:eastAsia="Calibri" w:cs="Arial"/>
        </w:rPr>
        <w:t>4</w:t>
      </w:r>
      <w:r w:rsidRPr="00B317D5">
        <w:rPr>
          <w:rFonts w:eastAsia="Calibri" w:cs="Arial"/>
        </w:rPr>
        <w:t>,</w:t>
      </w:r>
      <w:r w:rsidR="005A4380" w:rsidRPr="00B317D5">
        <w:rPr>
          <w:rFonts w:eastAsia="Calibri" w:cs="Arial"/>
        </w:rPr>
        <w:t>076</w:t>
      </w:r>
      <w:r w:rsidRPr="00B317D5">
        <w:rPr>
          <w:rFonts w:eastAsia="Calibri" w:cs="Arial"/>
        </w:rPr>
        <w:t xml:space="preserve"> GWh (</w:t>
      </w:r>
      <w:r w:rsidRPr="00B317D5">
        <w:rPr>
          <w:rFonts w:eastAsia="Calibri" w:cs="Arial"/>
        </w:rPr>
        <w:fldChar w:fldCharType="begin"/>
      </w:r>
      <w:r w:rsidRPr="00B317D5">
        <w:rPr>
          <w:rFonts w:eastAsia="Calibri" w:cs="Arial"/>
        </w:rPr>
        <w:instrText xml:space="preserve"> REF _Ref79879998 \h </w:instrText>
      </w:r>
      <w:r w:rsidR="00CB53C4" w:rsidRPr="00B317D5">
        <w:rPr>
          <w:rFonts w:eastAsia="Calibri" w:cs="Arial"/>
        </w:rPr>
        <w:instrText xml:space="preserve"> \* MERGEFORMAT </w:instrText>
      </w:r>
      <w:r w:rsidRPr="00B317D5">
        <w:rPr>
          <w:rFonts w:eastAsia="Calibri" w:cs="Arial"/>
        </w:rPr>
      </w:r>
      <w:r w:rsidRPr="00B317D5">
        <w:rPr>
          <w:rFonts w:eastAsia="Calibri" w:cs="Arial"/>
        </w:rPr>
        <w:fldChar w:fldCharType="separate"/>
      </w:r>
      <w:r w:rsidR="00D054D0" w:rsidRPr="00D054D0">
        <w:rPr>
          <w:rFonts w:eastAsia="Calibri" w:cs="Arial"/>
        </w:rPr>
        <w:t xml:space="preserve">Table </w:t>
      </w:r>
      <w:r w:rsidR="00D054D0" w:rsidRPr="00D054D0">
        <w:rPr>
          <w:rFonts w:eastAsia="Calibri" w:cs="Arial"/>
          <w:noProof/>
        </w:rPr>
        <w:t>10</w:t>
      </w:r>
      <w:r w:rsidRPr="00B317D5">
        <w:rPr>
          <w:rFonts w:eastAsia="Calibri" w:cs="Arial"/>
        </w:rPr>
        <w:fldChar w:fldCharType="end"/>
      </w:r>
      <w:r w:rsidRPr="00B317D5">
        <w:rPr>
          <w:rFonts w:eastAsia="Calibri" w:cs="Arial"/>
        </w:rPr>
        <w:t>)</w:t>
      </w:r>
      <w:r w:rsidR="00714452" w:rsidRPr="00B317D5">
        <w:rPr>
          <w:rFonts w:eastAsia="Calibri" w:cs="Arial"/>
        </w:rPr>
        <w:t xml:space="preserve">. </w:t>
      </w:r>
      <w:r w:rsidR="00CB53C4" w:rsidRPr="00B317D5">
        <w:rPr>
          <w:rFonts w:eastAsia="Calibri" w:cs="Arial"/>
        </w:rPr>
        <w:t>66</w:t>
      </w:r>
      <w:r w:rsidRPr="00B317D5">
        <w:rPr>
          <w:rFonts w:eastAsia="Calibri" w:cs="Arial"/>
        </w:rPr>
        <w:t xml:space="preserve">% of the energy was produced with renewable </w:t>
      </w:r>
      <w:r w:rsidR="00714452" w:rsidRPr="00B317D5">
        <w:rPr>
          <w:rFonts w:eastAsia="Calibri" w:cs="Arial"/>
        </w:rPr>
        <w:t xml:space="preserve">technologies </w:t>
      </w:r>
      <w:r w:rsidRPr="00B317D5">
        <w:rPr>
          <w:rFonts w:eastAsia="Calibri" w:cs="Arial"/>
        </w:rPr>
        <w:t xml:space="preserve">and </w:t>
      </w:r>
      <w:r w:rsidR="00CB53C4" w:rsidRPr="00B317D5">
        <w:rPr>
          <w:rFonts w:eastAsia="Calibri" w:cs="Arial"/>
        </w:rPr>
        <w:t>34</w:t>
      </w:r>
      <w:r w:rsidRPr="00B317D5">
        <w:rPr>
          <w:rFonts w:eastAsia="Calibri" w:cs="Arial"/>
        </w:rPr>
        <w:t xml:space="preserve">% with </w:t>
      </w:r>
      <w:r w:rsidR="00714452" w:rsidRPr="00B317D5">
        <w:rPr>
          <w:rFonts w:eastAsia="Calibri" w:cs="Arial"/>
        </w:rPr>
        <w:t>conventional thermal energy</w:t>
      </w:r>
      <w:r w:rsidRPr="00B317D5">
        <w:rPr>
          <w:rFonts w:eastAsia="Calibri" w:cs="Arial"/>
        </w:rPr>
        <w:t>.</w:t>
      </w:r>
      <w:r w:rsidRPr="00AB7206">
        <w:rPr>
          <w:rFonts w:eastAsia="Calibri" w:cs="Arial"/>
        </w:rPr>
        <w:t xml:space="preserve"> </w:t>
      </w:r>
    </w:p>
    <w:p w14:paraId="75EFDFE3" w14:textId="1BDF7D03" w:rsidR="00AC66FC" w:rsidRPr="00B317D5" w:rsidRDefault="00AC66FC" w:rsidP="00AC66FC">
      <w:pPr>
        <w:keepNext/>
        <w:tabs>
          <w:tab w:val="left" w:pos="7200"/>
        </w:tabs>
        <w:spacing w:line="240" w:lineRule="auto"/>
        <w:jc w:val="center"/>
        <w:rPr>
          <w:rFonts w:eastAsia="Calibri" w:cs="Arial"/>
          <w:sz w:val="18"/>
        </w:rPr>
      </w:pPr>
      <w:bookmarkStart w:id="15" w:name="_Ref79879982"/>
      <w:r w:rsidRPr="00B317D5">
        <w:rPr>
          <w:rFonts w:eastAsia="Calibri" w:cs="Arial"/>
          <w:b/>
          <w:bCs/>
          <w:sz w:val="18"/>
        </w:rPr>
        <w:t xml:space="preserve">Table </w:t>
      </w:r>
      <w:r w:rsidRPr="00B317D5">
        <w:rPr>
          <w:rFonts w:eastAsia="Calibri" w:cs="Arial"/>
          <w:b/>
          <w:bCs/>
          <w:sz w:val="18"/>
        </w:rPr>
        <w:fldChar w:fldCharType="begin"/>
      </w:r>
      <w:r w:rsidRPr="00B317D5">
        <w:rPr>
          <w:rFonts w:eastAsia="Calibri" w:cs="Arial"/>
          <w:b/>
          <w:bCs/>
          <w:sz w:val="18"/>
        </w:rPr>
        <w:instrText xml:space="preserve"> SEQ Table \* ARABIC </w:instrText>
      </w:r>
      <w:r w:rsidRPr="00B317D5">
        <w:rPr>
          <w:rFonts w:eastAsia="Calibri" w:cs="Arial"/>
          <w:b/>
          <w:bCs/>
          <w:sz w:val="18"/>
        </w:rPr>
        <w:fldChar w:fldCharType="separate"/>
      </w:r>
      <w:r w:rsidR="00D054D0">
        <w:rPr>
          <w:rFonts w:eastAsia="Calibri" w:cs="Arial"/>
          <w:b/>
          <w:bCs/>
          <w:noProof/>
          <w:sz w:val="18"/>
        </w:rPr>
        <w:t>9</w:t>
      </w:r>
      <w:r w:rsidRPr="00B317D5">
        <w:rPr>
          <w:rFonts w:eastAsia="Calibri" w:cs="Arial"/>
          <w:b/>
          <w:bCs/>
          <w:sz w:val="18"/>
        </w:rPr>
        <w:fldChar w:fldCharType="end"/>
      </w:r>
      <w:bookmarkEnd w:id="15"/>
      <w:r w:rsidRPr="00B317D5">
        <w:rPr>
          <w:rFonts w:eastAsia="Calibri" w:cs="Arial"/>
          <w:sz w:val="18"/>
        </w:rPr>
        <w:t>. Installed capacity per county (MW) 20</w:t>
      </w:r>
      <w:r w:rsidR="00E617C6" w:rsidRPr="00B317D5">
        <w:rPr>
          <w:rFonts w:eastAsia="Calibri" w:cs="Arial"/>
          <w:sz w:val="18"/>
        </w:rPr>
        <w:t>19</w:t>
      </w:r>
    </w:p>
    <w:p w14:paraId="0E6CF1A4" w14:textId="43295333" w:rsidR="00AC66FC" w:rsidRPr="00B317D5" w:rsidRDefault="001852EB" w:rsidP="00E617C6">
      <w:pPr>
        <w:spacing w:line="240" w:lineRule="auto"/>
        <w:jc w:val="center"/>
        <w:rPr>
          <w:rFonts w:eastAsia="Calibri" w:cs="Arial"/>
        </w:rPr>
      </w:pPr>
      <w:r w:rsidRPr="00B317D5">
        <w:rPr>
          <w:noProof/>
        </w:rPr>
        <w:drawing>
          <wp:inline distT="0" distB="0" distL="0" distR="0" wp14:anchorId="36AF5CE6" wp14:editId="73932A41">
            <wp:extent cx="5238000" cy="1941937"/>
            <wp:effectExtent l="0" t="0" r="1270" b="127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38000" cy="1941937"/>
                    </a:xfrm>
                    <a:prstGeom prst="rect">
                      <a:avLst/>
                    </a:prstGeom>
                    <a:noFill/>
                    <a:ln>
                      <a:noFill/>
                    </a:ln>
                  </pic:spPr>
                </pic:pic>
              </a:graphicData>
            </a:graphic>
          </wp:inline>
        </w:drawing>
      </w:r>
    </w:p>
    <w:p w14:paraId="047EE2E5" w14:textId="0E44BE00" w:rsidR="00AC66FC" w:rsidRPr="00B317D5" w:rsidRDefault="00AC66FC" w:rsidP="00AC66FC">
      <w:pPr>
        <w:spacing w:line="240" w:lineRule="auto"/>
        <w:rPr>
          <w:rFonts w:eastAsia="Calibri" w:cs="Arial"/>
          <w:i/>
          <w:iCs/>
          <w:sz w:val="16"/>
          <w:szCs w:val="18"/>
        </w:rPr>
      </w:pPr>
      <w:r w:rsidRPr="00B317D5">
        <w:rPr>
          <w:rFonts w:eastAsia="Calibri" w:cs="Arial"/>
          <w:i/>
          <w:iCs/>
          <w:sz w:val="16"/>
          <w:szCs w:val="18"/>
        </w:rPr>
        <w:t>Source: Electricity Subsector Statics of the Central American Integration System (SICA) Countries 2019 -2020.- ECLAC</w:t>
      </w:r>
    </w:p>
    <w:p w14:paraId="12D31528" w14:textId="4F60E376" w:rsidR="00AC66FC" w:rsidRPr="00B317D5" w:rsidRDefault="00AC66FC" w:rsidP="00AC66FC">
      <w:pPr>
        <w:keepNext/>
        <w:tabs>
          <w:tab w:val="left" w:pos="7200"/>
        </w:tabs>
        <w:spacing w:line="240" w:lineRule="auto"/>
        <w:jc w:val="center"/>
        <w:rPr>
          <w:rFonts w:eastAsia="Calibri" w:cs="Arial"/>
          <w:sz w:val="18"/>
        </w:rPr>
      </w:pPr>
      <w:bookmarkStart w:id="16" w:name="_Ref79879998"/>
      <w:r w:rsidRPr="00B317D5">
        <w:rPr>
          <w:rFonts w:eastAsia="Calibri" w:cs="Arial"/>
          <w:b/>
          <w:bCs/>
          <w:sz w:val="18"/>
        </w:rPr>
        <w:t xml:space="preserve">Table </w:t>
      </w:r>
      <w:r w:rsidRPr="00B317D5">
        <w:rPr>
          <w:rFonts w:eastAsia="Calibri" w:cs="Arial"/>
          <w:b/>
          <w:bCs/>
          <w:sz w:val="18"/>
        </w:rPr>
        <w:fldChar w:fldCharType="begin"/>
      </w:r>
      <w:r w:rsidRPr="00B317D5">
        <w:rPr>
          <w:rFonts w:eastAsia="Calibri" w:cs="Arial"/>
          <w:b/>
          <w:bCs/>
          <w:sz w:val="18"/>
        </w:rPr>
        <w:instrText xml:space="preserve"> SEQ Table \* ARABIC </w:instrText>
      </w:r>
      <w:r w:rsidRPr="00B317D5">
        <w:rPr>
          <w:rFonts w:eastAsia="Calibri" w:cs="Arial"/>
          <w:b/>
          <w:bCs/>
          <w:sz w:val="18"/>
        </w:rPr>
        <w:fldChar w:fldCharType="separate"/>
      </w:r>
      <w:r w:rsidR="00D054D0">
        <w:rPr>
          <w:rFonts w:eastAsia="Calibri" w:cs="Arial"/>
          <w:b/>
          <w:bCs/>
          <w:noProof/>
          <w:sz w:val="18"/>
        </w:rPr>
        <w:t>10</w:t>
      </w:r>
      <w:r w:rsidRPr="00B317D5">
        <w:rPr>
          <w:rFonts w:eastAsia="Calibri" w:cs="Arial"/>
          <w:b/>
          <w:bCs/>
          <w:sz w:val="18"/>
        </w:rPr>
        <w:fldChar w:fldCharType="end"/>
      </w:r>
      <w:bookmarkEnd w:id="16"/>
      <w:r w:rsidRPr="00B317D5">
        <w:rPr>
          <w:rFonts w:eastAsia="Calibri" w:cs="Arial"/>
          <w:b/>
          <w:bCs/>
          <w:sz w:val="18"/>
        </w:rPr>
        <w:t>.</w:t>
      </w:r>
      <w:r w:rsidRPr="00B317D5">
        <w:rPr>
          <w:rFonts w:eastAsia="Calibri" w:cs="Arial"/>
          <w:sz w:val="18"/>
        </w:rPr>
        <w:t xml:space="preserve"> Power generated by country (GWh) 20</w:t>
      </w:r>
      <w:r w:rsidR="00E617C6" w:rsidRPr="00B317D5">
        <w:rPr>
          <w:rFonts w:eastAsia="Calibri" w:cs="Arial"/>
          <w:sz w:val="18"/>
        </w:rPr>
        <w:t>19</w:t>
      </w:r>
    </w:p>
    <w:p w14:paraId="46DF4838" w14:textId="269C6A72" w:rsidR="00AC66FC" w:rsidRPr="00B317D5" w:rsidRDefault="001852EB" w:rsidP="00AC66FC">
      <w:pPr>
        <w:spacing w:line="240" w:lineRule="auto"/>
        <w:jc w:val="center"/>
        <w:rPr>
          <w:rFonts w:eastAsia="Calibri" w:cs="Arial"/>
        </w:rPr>
      </w:pPr>
      <w:r w:rsidRPr="00B317D5">
        <w:rPr>
          <w:noProof/>
        </w:rPr>
        <w:drawing>
          <wp:inline distT="0" distB="0" distL="0" distR="0" wp14:anchorId="211B3E97" wp14:editId="0323609D">
            <wp:extent cx="5237480" cy="2198789"/>
            <wp:effectExtent l="0" t="0" r="127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40484" cy="2200050"/>
                    </a:xfrm>
                    <a:prstGeom prst="rect">
                      <a:avLst/>
                    </a:prstGeom>
                    <a:noFill/>
                    <a:ln>
                      <a:noFill/>
                    </a:ln>
                  </pic:spPr>
                </pic:pic>
              </a:graphicData>
            </a:graphic>
          </wp:inline>
        </w:drawing>
      </w:r>
    </w:p>
    <w:p w14:paraId="7EE25805" w14:textId="7662D674" w:rsidR="00AC66FC" w:rsidRPr="00AB7206" w:rsidRDefault="00AC66FC" w:rsidP="00AC66FC">
      <w:pPr>
        <w:spacing w:line="240" w:lineRule="auto"/>
        <w:ind w:left="60"/>
        <w:rPr>
          <w:rFonts w:eastAsia="Yu Gothic Light" w:cs="Times New Roman"/>
          <w:i/>
          <w:iCs/>
          <w:color w:val="000000"/>
          <w:sz w:val="16"/>
          <w:szCs w:val="16"/>
        </w:rPr>
      </w:pPr>
      <w:r w:rsidRPr="00B317D5">
        <w:rPr>
          <w:rFonts w:eastAsia="Yu Gothic Light" w:cs="Times New Roman"/>
          <w:i/>
          <w:iCs/>
          <w:color w:val="000000"/>
          <w:sz w:val="16"/>
          <w:szCs w:val="16"/>
        </w:rPr>
        <w:t>Source: Electricity Subsector Statics of the Central American Integration System (SICA) Countries 2019 -2020.- ECLAC</w:t>
      </w:r>
    </w:p>
    <w:p w14:paraId="591C4D84" w14:textId="2C21DBAF" w:rsidR="00AC66FC" w:rsidRPr="00AB7206" w:rsidRDefault="007C1E19" w:rsidP="000B5328">
      <w:pPr>
        <w:keepNext/>
        <w:tabs>
          <w:tab w:val="left" w:pos="7200"/>
        </w:tabs>
        <w:spacing w:line="240" w:lineRule="auto"/>
        <w:rPr>
          <w:rFonts w:eastAsia="Yu Gothic Light" w:cs="Times New Roman"/>
          <w:color w:val="000000"/>
        </w:rPr>
      </w:pPr>
      <w:r>
        <w:rPr>
          <w:rFonts w:eastAsia="Calibri" w:cs="Arial"/>
        </w:rPr>
        <w:t>Further</w:t>
      </w:r>
      <w:r w:rsidR="00AC66FC" w:rsidRPr="00AB7206">
        <w:rPr>
          <w:rFonts w:eastAsia="Calibri" w:cs="Arial"/>
        </w:rPr>
        <w:t xml:space="preserve"> detail</w:t>
      </w:r>
      <w:r>
        <w:rPr>
          <w:rFonts w:eastAsia="Calibri" w:cs="Arial"/>
        </w:rPr>
        <w:t xml:space="preserve"> on the historical evolution of</w:t>
      </w:r>
      <w:r w:rsidR="00AC66FC" w:rsidRPr="00AB7206">
        <w:rPr>
          <w:rFonts w:eastAsia="Calibri" w:cs="Arial"/>
        </w:rPr>
        <w:t xml:space="preserve"> installed capacity by source per country </w:t>
      </w:r>
      <w:r>
        <w:rPr>
          <w:rFonts w:eastAsia="Calibri" w:cs="Arial"/>
        </w:rPr>
        <w:t>is</w:t>
      </w:r>
      <w:r w:rsidR="00AC66FC" w:rsidRPr="00AB7206">
        <w:rPr>
          <w:rFonts w:eastAsia="Calibri" w:cs="Arial"/>
        </w:rPr>
        <w:t xml:space="preserve"> present</w:t>
      </w:r>
      <w:r>
        <w:rPr>
          <w:rFonts w:eastAsia="Calibri" w:cs="Arial"/>
        </w:rPr>
        <w:t xml:space="preserve">ed in </w:t>
      </w:r>
      <w:r w:rsidR="00AC66FC" w:rsidRPr="00AB7206">
        <w:rPr>
          <w:rFonts w:eastAsia="Calibri" w:cs="Arial"/>
        </w:rPr>
        <w:t xml:space="preserve">Annex </w:t>
      </w:r>
      <w:r w:rsidR="002F7368">
        <w:rPr>
          <w:rFonts w:eastAsia="Calibri" w:cs="Arial"/>
        </w:rPr>
        <w:t>1</w:t>
      </w:r>
      <w:r w:rsidR="00AC66FC" w:rsidRPr="00AB7206">
        <w:rPr>
          <w:rFonts w:eastAsia="Calibri" w:cs="Arial"/>
        </w:rPr>
        <w:t xml:space="preserve">. </w:t>
      </w:r>
      <w:r w:rsidR="000B5328">
        <w:rPr>
          <w:rFonts w:eastAsia="Calibri" w:cs="Arial"/>
        </w:rPr>
        <w:t xml:space="preserve"> </w:t>
      </w:r>
      <w:r w:rsidR="00AC66FC" w:rsidRPr="00AB7206">
        <w:rPr>
          <w:rFonts w:eastAsia="Yu Gothic Light" w:cs="Times New Roman"/>
          <w:color w:val="000000"/>
        </w:rPr>
        <w:t>The following table shows the full potential of renewable energy sources in Central America</w:t>
      </w:r>
      <w:r w:rsidR="000B5328">
        <w:rPr>
          <w:rFonts w:eastAsia="Yu Gothic Light" w:cs="Times New Roman"/>
          <w:color w:val="000000"/>
        </w:rPr>
        <w:t>n countries</w:t>
      </w:r>
      <w:r w:rsidR="00AC66FC" w:rsidRPr="00AB7206">
        <w:rPr>
          <w:rFonts w:eastAsia="Yu Gothic Light" w:cs="Times New Roman"/>
          <w:color w:val="000000"/>
        </w:rPr>
        <w:t>, identified by type of renewable source, and the estimated percentage of current u</w:t>
      </w:r>
      <w:r w:rsidR="00BF7C5C">
        <w:rPr>
          <w:rFonts w:eastAsia="Yu Gothic Light" w:cs="Times New Roman"/>
          <w:color w:val="000000"/>
        </w:rPr>
        <w:t>tilization</w:t>
      </w:r>
      <w:r w:rsidR="00AC66FC" w:rsidRPr="00AB7206">
        <w:rPr>
          <w:rFonts w:eastAsia="Yu Gothic Light" w:cs="Times New Roman"/>
          <w:color w:val="000000"/>
        </w:rPr>
        <w:t>.</w:t>
      </w:r>
    </w:p>
    <w:p w14:paraId="2DD69C11" w14:textId="4CAA8611" w:rsidR="00AC66FC" w:rsidRDefault="00AC66FC" w:rsidP="00AC66FC">
      <w:pPr>
        <w:keepNext/>
        <w:tabs>
          <w:tab w:val="left" w:pos="7200"/>
        </w:tabs>
        <w:spacing w:line="240" w:lineRule="auto"/>
        <w:jc w:val="center"/>
        <w:rPr>
          <w:rFonts w:eastAsia="Calibri" w:cs="Arial"/>
          <w:sz w:val="18"/>
        </w:rPr>
      </w:pPr>
      <w:r w:rsidRPr="00AB7206">
        <w:rPr>
          <w:rFonts w:eastAsia="Calibri" w:cs="Arial"/>
          <w:b/>
          <w:bCs/>
          <w:sz w:val="18"/>
        </w:rPr>
        <w:t xml:space="preserve">Table </w:t>
      </w:r>
      <w:r w:rsidRPr="00AB7206">
        <w:rPr>
          <w:rFonts w:eastAsia="Calibri" w:cs="Arial"/>
          <w:b/>
          <w:bCs/>
          <w:sz w:val="18"/>
        </w:rPr>
        <w:fldChar w:fldCharType="begin"/>
      </w:r>
      <w:r w:rsidRPr="00AB7206">
        <w:rPr>
          <w:rFonts w:eastAsia="Calibri" w:cs="Arial"/>
          <w:b/>
          <w:bCs/>
          <w:sz w:val="18"/>
        </w:rPr>
        <w:instrText xml:space="preserve"> SEQ Table \* ARABIC </w:instrText>
      </w:r>
      <w:r w:rsidRPr="00AB7206">
        <w:rPr>
          <w:rFonts w:eastAsia="Calibri" w:cs="Arial"/>
          <w:b/>
          <w:bCs/>
          <w:sz w:val="18"/>
        </w:rPr>
        <w:fldChar w:fldCharType="separate"/>
      </w:r>
      <w:r w:rsidR="00D054D0">
        <w:rPr>
          <w:rFonts w:eastAsia="Calibri" w:cs="Arial"/>
          <w:b/>
          <w:bCs/>
          <w:noProof/>
          <w:sz w:val="18"/>
        </w:rPr>
        <w:t>11</w:t>
      </w:r>
      <w:r w:rsidRPr="00AB7206">
        <w:rPr>
          <w:rFonts w:eastAsia="Calibri" w:cs="Arial"/>
          <w:b/>
          <w:bCs/>
          <w:sz w:val="18"/>
        </w:rPr>
        <w:fldChar w:fldCharType="end"/>
      </w:r>
      <w:r w:rsidRPr="00AB7206">
        <w:rPr>
          <w:rFonts w:eastAsia="Calibri" w:cs="Arial"/>
          <w:b/>
          <w:bCs/>
          <w:sz w:val="18"/>
        </w:rPr>
        <w:t>.</w:t>
      </w:r>
      <w:r w:rsidRPr="00AB7206">
        <w:rPr>
          <w:rFonts w:eastAsia="Calibri" w:cs="Arial"/>
          <w:sz w:val="18"/>
        </w:rPr>
        <w:t xml:space="preserve"> Power potential of RE sources identified in each Central American country</w:t>
      </w:r>
      <w:r w:rsidR="004709D9">
        <w:rPr>
          <w:rFonts w:eastAsia="Calibri" w:cs="Arial"/>
          <w:sz w:val="18"/>
        </w:rPr>
        <w:t xml:space="preserve"> </w:t>
      </w:r>
      <w:r w:rsidRPr="00AB7206">
        <w:rPr>
          <w:rFonts w:eastAsia="Calibri" w:cs="Arial"/>
          <w:sz w:val="18"/>
        </w:rPr>
        <w:t>and utilization rate</w:t>
      </w:r>
      <w:r w:rsidR="007E39C2">
        <w:rPr>
          <w:rFonts w:eastAsia="Calibri" w:cs="Arial"/>
          <w:sz w:val="18"/>
        </w:rPr>
        <w:t xml:space="preserve"> </w:t>
      </w:r>
    </w:p>
    <w:p w14:paraId="29790E7B" w14:textId="54FF9627" w:rsidR="00D51376" w:rsidRDefault="00D51376" w:rsidP="00AC66FC">
      <w:pPr>
        <w:keepNext/>
        <w:tabs>
          <w:tab w:val="left" w:pos="7200"/>
        </w:tabs>
        <w:spacing w:line="240" w:lineRule="auto"/>
        <w:jc w:val="center"/>
        <w:rPr>
          <w:rFonts w:eastAsia="Calibri" w:cs="Arial"/>
          <w:sz w:val="18"/>
        </w:rPr>
      </w:pPr>
      <w:r w:rsidRPr="00D51376">
        <w:rPr>
          <w:noProof/>
        </w:rPr>
        <w:drawing>
          <wp:inline distT="0" distB="0" distL="0" distR="0" wp14:anchorId="24FE8F32" wp14:editId="324F7C0A">
            <wp:extent cx="5402580" cy="1899920"/>
            <wp:effectExtent l="0" t="0" r="7620" b="508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2580" cy="1899920"/>
                    </a:xfrm>
                    <a:prstGeom prst="rect">
                      <a:avLst/>
                    </a:prstGeom>
                    <a:noFill/>
                    <a:ln>
                      <a:noFill/>
                    </a:ln>
                  </pic:spPr>
                </pic:pic>
              </a:graphicData>
            </a:graphic>
          </wp:inline>
        </w:drawing>
      </w:r>
    </w:p>
    <w:p w14:paraId="1D2E0D39" w14:textId="14B665D1" w:rsidR="00AC66FC" w:rsidRPr="00B664F6" w:rsidRDefault="00AC66FC" w:rsidP="00AC66FC">
      <w:pPr>
        <w:spacing w:line="240" w:lineRule="auto"/>
        <w:rPr>
          <w:rFonts w:eastAsia="Calibri" w:cs="Arial"/>
          <w:i/>
          <w:iCs/>
          <w:sz w:val="16"/>
          <w:szCs w:val="16"/>
        </w:rPr>
      </w:pPr>
      <w:r w:rsidRPr="006658F5">
        <w:rPr>
          <w:rFonts w:eastAsia="Calibri" w:cs="Arial"/>
          <w:b/>
          <w:i/>
          <w:iCs/>
          <w:sz w:val="16"/>
          <w:szCs w:val="16"/>
        </w:rPr>
        <w:t>Source:</w:t>
      </w:r>
      <w:r w:rsidRPr="006658F5">
        <w:rPr>
          <w:rFonts w:eastAsia="Calibri" w:cs="Arial"/>
          <w:i/>
          <w:iCs/>
          <w:sz w:val="16"/>
          <w:szCs w:val="16"/>
        </w:rPr>
        <w:t xml:space="preserve"> </w:t>
      </w:r>
      <w:r w:rsidR="00D51376" w:rsidRPr="00D51376">
        <w:rPr>
          <w:rFonts w:eastAsia="Calibri" w:cs="Arial"/>
          <w:i/>
          <w:iCs/>
          <w:sz w:val="16"/>
          <w:szCs w:val="16"/>
        </w:rPr>
        <w:t>Data on potential obtained from</w:t>
      </w:r>
      <w:r w:rsidR="00D51376" w:rsidRPr="006658F5">
        <w:rPr>
          <w:rFonts w:eastAsia="Calibri" w:cs="Arial"/>
          <w:i/>
          <w:iCs/>
          <w:sz w:val="16"/>
          <w:szCs w:val="16"/>
        </w:rPr>
        <w:t xml:space="preserve"> </w:t>
      </w:r>
      <w:r w:rsidRPr="006658F5">
        <w:rPr>
          <w:rFonts w:eastAsia="Calibri" w:cs="Arial"/>
          <w:i/>
          <w:iCs/>
          <w:sz w:val="16"/>
          <w:szCs w:val="16"/>
        </w:rPr>
        <w:t xml:space="preserve">ARECA/BCIE, Análisis del Mercado de Energía Renovable, 2009.  </w:t>
      </w:r>
      <w:r w:rsidRPr="00B664F6">
        <w:rPr>
          <w:rFonts w:eastAsia="Calibri" w:cs="Arial"/>
          <w:i/>
          <w:iCs/>
          <w:sz w:val="16"/>
          <w:szCs w:val="16"/>
        </w:rPr>
        <w:t>Adjusted and complemented with other sources from GreenLAC.</w:t>
      </w:r>
      <w:r w:rsidR="00D51376">
        <w:rPr>
          <w:rFonts w:eastAsia="Calibri" w:cs="Arial"/>
          <w:i/>
          <w:iCs/>
          <w:sz w:val="16"/>
          <w:szCs w:val="16"/>
        </w:rPr>
        <w:t xml:space="preserve"> Data on actual utilization (2019) from </w:t>
      </w:r>
      <w:r w:rsidR="00D51376" w:rsidRPr="00D51376">
        <w:rPr>
          <w:rFonts w:eastAsia="Calibri" w:cs="Arial"/>
          <w:i/>
          <w:iCs/>
          <w:sz w:val="16"/>
          <w:szCs w:val="16"/>
        </w:rPr>
        <w:t>Electricity Subsector Statics of the Central American Integration System (SICA) Countries 2019 -2020.- ECLAC</w:t>
      </w:r>
      <w:r w:rsidR="00D51376">
        <w:rPr>
          <w:rFonts w:eastAsia="Calibri" w:cs="Arial"/>
          <w:i/>
          <w:iCs/>
          <w:sz w:val="16"/>
          <w:szCs w:val="16"/>
        </w:rPr>
        <w:t>.</w:t>
      </w:r>
    </w:p>
    <w:p w14:paraId="14E658F6" w14:textId="63EFA2FE" w:rsidR="008F09B0" w:rsidRPr="00983966" w:rsidRDefault="008F09B0" w:rsidP="00336136">
      <w:pPr>
        <w:spacing w:line="240" w:lineRule="auto"/>
      </w:pPr>
    </w:p>
    <w:p w14:paraId="55D4FEBC" w14:textId="547F1408" w:rsidR="008F09B0" w:rsidRPr="00472B84" w:rsidRDefault="008F09B0" w:rsidP="00336136">
      <w:pPr>
        <w:pStyle w:val="Ttulo1"/>
        <w:spacing w:before="0" w:after="160" w:line="240" w:lineRule="auto"/>
      </w:pPr>
      <w:bookmarkStart w:id="17" w:name="_Toc90453964"/>
      <w:r w:rsidRPr="00472B84">
        <w:t>Renewable Energy Regulatory and Technical Barriers</w:t>
      </w:r>
      <w:bookmarkEnd w:id="17"/>
    </w:p>
    <w:p w14:paraId="2A305C10" w14:textId="414D02D7" w:rsidR="008F09B0" w:rsidRDefault="008F09B0" w:rsidP="00336136">
      <w:pPr>
        <w:pStyle w:val="Ttulo2"/>
        <w:spacing w:before="0" w:line="240" w:lineRule="auto"/>
      </w:pPr>
      <w:bookmarkStart w:id="18" w:name="_Toc90453965"/>
      <w:r w:rsidRPr="00472B84">
        <w:t>Identification of specific regulatory and technical barriers for RE</w:t>
      </w:r>
      <w:bookmarkEnd w:id="18"/>
    </w:p>
    <w:p w14:paraId="0FC27388" w14:textId="08422FBE" w:rsidR="00425AC8" w:rsidRDefault="00A16029" w:rsidP="0008761B">
      <w:bookmarkStart w:id="19" w:name="_Hlk80974046"/>
      <w:r>
        <w:t xml:space="preserve">From the revision of the </w:t>
      </w:r>
      <w:r w:rsidR="0008761B" w:rsidRPr="00A16029">
        <w:t>regulatory frame</w:t>
      </w:r>
      <w:r w:rsidR="002D19B5" w:rsidRPr="00A16029">
        <w:t>work</w:t>
      </w:r>
      <w:r w:rsidR="00425AC8">
        <w:t xml:space="preserve"> of the different Central American countries, </w:t>
      </w:r>
      <w:r w:rsidR="00425AC8" w:rsidRPr="00A16029">
        <w:t>it</w:t>
      </w:r>
      <w:r w:rsidR="00425AC8">
        <w:t xml:space="preserve"> is evident that there are many features promoting renewable energies.  Nevertheless, there are important barriers as well, mainly caused by the persistence of certain monopolistic policies (especially in Costa Rica</w:t>
      </w:r>
      <w:r w:rsidR="00233869">
        <w:t xml:space="preserve">, Honduras, </w:t>
      </w:r>
      <w:r w:rsidR="00425AC8" w:rsidRPr="00233869">
        <w:t>and Nicaragua),</w:t>
      </w:r>
      <w:r w:rsidR="00425AC8">
        <w:t xml:space="preserve"> </w:t>
      </w:r>
      <w:r w:rsidR="00425AC8" w:rsidRPr="00425AC8">
        <w:t>outdated or unfocused stimuli</w:t>
      </w:r>
      <w:r w:rsidR="00425AC8">
        <w:t xml:space="preserve">, and limited </w:t>
      </w:r>
      <w:r w:rsidR="00425AC8" w:rsidRPr="00425AC8">
        <w:t xml:space="preserve">technical </w:t>
      </w:r>
      <w:r w:rsidR="00425AC8">
        <w:t>knowledge</w:t>
      </w:r>
      <w:r w:rsidR="00425AC8" w:rsidRPr="00425AC8">
        <w:t xml:space="preserve"> of new generation technologies</w:t>
      </w:r>
      <w:r w:rsidR="00425AC8">
        <w:t xml:space="preserve">. These regulatory and technical barriers were validated with a round of interviews to experts, </w:t>
      </w:r>
      <w:bookmarkEnd w:id="19"/>
      <w:r w:rsidR="00425AC8">
        <w:t>as</w:t>
      </w:r>
      <w:r w:rsidR="00425AC8" w:rsidRPr="00425AC8">
        <w:t xml:space="preserve"> described later in this report</w:t>
      </w:r>
      <w:r w:rsidR="00425AC8">
        <w:t>.</w:t>
      </w:r>
    </w:p>
    <w:p w14:paraId="13E35E28" w14:textId="195DDF6E" w:rsidR="0008761B" w:rsidRDefault="00AE434F" w:rsidP="0008761B">
      <w:r w:rsidRPr="00A16029">
        <w:t xml:space="preserve">Annex 4 </w:t>
      </w:r>
      <w:r w:rsidR="00425AC8">
        <w:t>presents</w:t>
      </w:r>
      <w:r w:rsidRPr="00A16029">
        <w:t xml:space="preserve"> specific barriers </w:t>
      </w:r>
      <w:r w:rsidR="00425AC8">
        <w:t>for</w:t>
      </w:r>
      <w:r w:rsidRPr="00A16029">
        <w:t xml:space="preserve"> each country</w:t>
      </w:r>
      <w:r w:rsidR="00425AC8">
        <w:t>;</w:t>
      </w:r>
      <w:r w:rsidRPr="00A16029">
        <w:t xml:space="preserve"> the following is a summary of the</w:t>
      </w:r>
      <w:r w:rsidR="00BC6F76">
        <w:t>se</w:t>
      </w:r>
      <w:r w:rsidRPr="00A16029">
        <w:t>:</w:t>
      </w:r>
    </w:p>
    <w:p w14:paraId="4F2112AA" w14:textId="7FB1C813" w:rsidR="00CB3F43" w:rsidRDefault="0008761B" w:rsidP="0008761B">
      <w:pPr>
        <w:pStyle w:val="Prrafodelista"/>
        <w:numPr>
          <w:ilvl w:val="0"/>
          <w:numId w:val="39"/>
        </w:numPr>
      </w:pPr>
      <w:bookmarkStart w:id="20" w:name="_Hlk80974168"/>
      <w:r w:rsidRPr="00CB3F43">
        <w:rPr>
          <w:b/>
          <w:bCs/>
        </w:rPr>
        <w:t>Energy policies</w:t>
      </w:r>
      <w:r w:rsidR="005B6856">
        <w:rPr>
          <w:b/>
          <w:bCs/>
        </w:rPr>
        <w:t xml:space="preserve"> and expansion plans</w:t>
      </w:r>
      <w:r w:rsidRPr="006C6356">
        <w:t xml:space="preserve"> </w:t>
      </w:r>
      <w:r w:rsidR="005B6856">
        <w:t xml:space="preserve">are focused on the supply side. They </w:t>
      </w:r>
      <w:r w:rsidRPr="006C6356">
        <w:t>include the use of renewable energies and fossil fuels such as natural gas.</w:t>
      </w:r>
      <w:r w:rsidR="00CB3F43">
        <w:t xml:space="preserve"> </w:t>
      </w:r>
      <w:r w:rsidRPr="006C6356">
        <w:t>The</w:t>
      </w:r>
      <w:r w:rsidR="005B6856">
        <w:t xml:space="preserve">y are lacking details regarding </w:t>
      </w:r>
      <w:r w:rsidR="005B6856" w:rsidRPr="006C6356">
        <w:t>plans</w:t>
      </w:r>
      <w:r w:rsidR="005B6856">
        <w:t xml:space="preserve"> for </w:t>
      </w:r>
      <w:r w:rsidRPr="00D0119E">
        <w:t xml:space="preserve">distributed </w:t>
      </w:r>
      <w:r w:rsidR="000B3491">
        <w:t xml:space="preserve">generation </w:t>
      </w:r>
      <w:r w:rsidRPr="00D0119E">
        <w:t>connected</w:t>
      </w:r>
      <w:r w:rsidRPr="006C6356">
        <w:t xml:space="preserve"> to the distribution network</w:t>
      </w:r>
      <w:r w:rsidR="002D1267">
        <w:t xml:space="preserve"> (except for Costa Rica and Panama, who have taken steps ahead in this regard)</w:t>
      </w:r>
      <w:r w:rsidRPr="006C6356">
        <w:t>.</w:t>
      </w:r>
    </w:p>
    <w:p w14:paraId="6A9558E2" w14:textId="3E294356" w:rsidR="00CB3F43" w:rsidRDefault="00D0119E" w:rsidP="009A60D1">
      <w:pPr>
        <w:pStyle w:val="Prrafodelista"/>
        <w:numPr>
          <w:ilvl w:val="0"/>
          <w:numId w:val="39"/>
        </w:numPr>
      </w:pPr>
      <w:r w:rsidRPr="00D0119E">
        <w:rPr>
          <w:b/>
          <w:bCs/>
        </w:rPr>
        <w:t>The</w:t>
      </w:r>
      <w:r w:rsidR="0008761B" w:rsidRPr="00D03E01">
        <w:rPr>
          <w:b/>
          <w:bCs/>
        </w:rPr>
        <w:t xml:space="preserve"> </w:t>
      </w:r>
      <w:r w:rsidR="0008761B" w:rsidRPr="007A2018">
        <w:rPr>
          <w:b/>
          <w:bCs/>
        </w:rPr>
        <w:t>regulations</w:t>
      </w:r>
      <w:r w:rsidR="0008761B" w:rsidRPr="006C6356">
        <w:t xml:space="preserve"> for the use of renewable energies do not </w:t>
      </w:r>
      <w:r w:rsidR="00657449">
        <w:t>favor</w:t>
      </w:r>
      <w:r w:rsidR="0008761B" w:rsidRPr="006C6356">
        <w:t xml:space="preserve"> </w:t>
      </w:r>
      <w:r w:rsidR="00657449">
        <w:t>innovative</w:t>
      </w:r>
      <w:r w:rsidR="0008761B" w:rsidRPr="006C6356">
        <w:t xml:space="preserve"> and competitive business models (</w:t>
      </w:r>
      <w:r w:rsidR="007A2018">
        <w:t xml:space="preserve">ways of spreading risk and overcoming financial barriers to investing in renewable energy and energy efficiency projects, and </w:t>
      </w:r>
      <w:r w:rsidR="0094318D">
        <w:t xml:space="preserve">models based on the </w:t>
      </w:r>
      <w:r w:rsidR="007A2018">
        <w:t xml:space="preserve">provision of </w:t>
      </w:r>
      <w:r w:rsidR="0094318D">
        <w:t xml:space="preserve">energy </w:t>
      </w:r>
      <w:r w:rsidR="007A2018">
        <w:t>services</w:t>
      </w:r>
      <w:r w:rsidR="0094318D">
        <w:t xml:space="preserve"> instead of ownership of energy assets</w:t>
      </w:r>
      <w:r w:rsidR="0008761B" w:rsidRPr="006C6356">
        <w:t>).</w:t>
      </w:r>
      <w:r w:rsidR="00CB3F43">
        <w:t xml:space="preserve"> </w:t>
      </w:r>
      <w:r w:rsidR="0008761B" w:rsidRPr="006C6356">
        <w:t xml:space="preserve">There are no regulations </w:t>
      </w:r>
      <w:r w:rsidR="005B6856">
        <w:t xml:space="preserve">and policies aimed at </w:t>
      </w:r>
      <w:r w:rsidR="0008761B" w:rsidRPr="006C6356">
        <w:t xml:space="preserve">emerging technologies such as </w:t>
      </w:r>
      <w:r w:rsidR="005B6856">
        <w:t xml:space="preserve">green </w:t>
      </w:r>
      <w:r w:rsidR="0008761B" w:rsidRPr="006C6356">
        <w:t>hydrogen</w:t>
      </w:r>
      <w:r w:rsidR="005B6856">
        <w:t>, low enthalpy geothermal, smart grids,</w:t>
      </w:r>
      <w:r w:rsidR="0008761B" w:rsidRPr="006C6356">
        <w:t xml:space="preserve"> and energy storage.</w:t>
      </w:r>
      <w:r w:rsidR="00CB3F43">
        <w:t xml:space="preserve"> </w:t>
      </w:r>
    </w:p>
    <w:p w14:paraId="3DDF9767" w14:textId="77777777" w:rsidR="001B7B60" w:rsidRPr="001B7B60" w:rsidRDefault="001B7B60" w:rsidP="001B7B60">
      <w:pPr>
        <w:pStyle w:val="Prrafodelista"/>
        <w:numPr>
          <w:ilvl w:val="0"/>
          <w:numId w:val="39"/>
        </w:numPr>
      </w:pPr>
      <w:r w:rsidRPr="001B7B60">
        <w:rPr>
          <w:b/>
          <w:bCs/>
        </w:rPr>
        <w:t>Electromobility and Battery Storage</w:t>
      </w:r>
      <w:r w:rsidRPr="001B7B60">
        <w:t>. There are not enough regulations and technical support in the region to detonate electromobility. Only Costa Rica and Panama are developing pilot projects for public transportation.</w:t>
      </w:r>
    </w:p>
    <w:p w14:paraId="59B8DD4E" w14:textId="22CD78E3" w:rsidR="00CB3F43" w:rsidRDefault="0008761B" w:rsidP="0008761B">
      <w:pPr>
        <w:pStyle w:val="Prrafodelista"/>
        <w:numPr>
          <w:ilvl w:val="0"/>
          <w:numId w:val="39"/>
        </w:numPr>
      </w:pPr>
      <w:r w:rsidRPr="00CB3F43">
        <w:rPr>
          <w:b/>
          <w:bCs/>
        </w:rPr>
        <w:t>Distributed generation</w:t>
      </w:r>
      <w:r w:rsidRPr="006C6356">
        <w:t xml:space="preserve"> regulations </w:t>
      </w:r>
      <w:r w:rsidR="00BC3F42">
        <w:t>are</w:t>
      </w:r>
      <w:r w:rsidRPr="006C6356">
        <w:t xml:space="preserve"> complex (especially </w:t>
      </w:r>
      <w:r w:rsidR="00485300">
        <w:t xml:space="preserve">in </w:t>
      </w:r>
      <w:r w:rsidRPr="006C6356">
        <w:t xml:space="preserve">Costa Rica) regarding maximum project capacities, </w:t>
      </w:r>
      <w:r w:rsidR="00485300">
        <w:t>circuit</w:t>
      </w:r>
      <w:r w:rsidRPr="006C6356">
        <w:t xml:space="preserve"> capacity limits, operating licenses, environmental </w:t>
      </w:r>
      <w:r w:rsidR="00485300">
        <w:t>considerations</w:t>
      </w:r>
      <w:r w:rsidRPr="006C6356">
        <w:t>, and other issues.</w:t>
      </w:r>
      <w:r w:rsidR="00CB3F43">
        <w:t xml:space="preserve"> </w:t>
      </w:r>
      <w:r w:rsidRPr="006C6356">
        <w:t xml:space="preserve">Self-producers having surpluses are not </w:t>
      </w:r>
      <w:r w:rsidR="00485300">
        <w:t xml:space="preserve">paid for </w:t>
      </w:r>
      <w:r w:rsidRPr="006C6356">
        <w:t xml:space="preserve">the energy injected into the </w:t>
      </w:r>
      <w:r w:rsidR="003425B3">
        <w:t xml:space="preserve">local </w:t>
      </w:r>
      <w:r w:rsidRPr="006C6356">
        <w:t>grid (Guatemala and Costa Rica).</w:t>
      </w:r>
      <w:r w:rsidR="00CB3F43">
        <w:t xml:space="preserve"> </w:t>
      </w:r>
      <w:r w:rsidR="00485300">
        <w:t>Therefore, there is significant potential power (especially solar</w:t>
      </w:r>
      <w:r w:rsidR="009F09E9">
        <w:t xml:space="preserve"> roofs</w:t>
      </w:r>
      <w:r w:rsidR="00485300">
        <w:t xml:space="preserve">) that cannot be economically utilized. </w:t>
      </w:r>
      <w:r w:rsidRPr="006C6356">
        <w:t xml:space="preserve">The </w:t>
      </w:r>
      <w:r w:rsidR="00485300">
        <w:t>allowed volume</w:t>
      </w:r>
      <w:r w:rsidRPr="006C6356">
        <w:t xml:space="preserve"> of self-generat</w:t>
      </w:r>
      <w:r w:rsidR="00485300">
        <w:t>ed energy</w:t>
      </w:r>
      <w:r w:rsidRPr="006C6356">
        <w:t xml:space="preserve"> connected </w:t>
      </w:r>
      <w:r w:rsidR="00485300">
        <w:t>to the</w:t>
      </w:r>
      <w:r w:rsidRPr="006C6356">
        <w:t xml:space="preserve"> distribution</w:t>
      </w:r>
      <w:r w:rsidR="00485300">
        <w:t xml:space="preserve"> grid</w:t>
      </w:r>
      <w:r w:rsidRPr="006C6356">
        <w:t xml:space="preserve"> has a limit that is not always very clear.</w:t>
      </w:r>
      <w:r w:rsidR="00485300">
        <w:t xml:space="preserve"> </w:t>
      </w:r>
      <w:r w:rsidR="00485300" w:rsidRPr="00485300">
        <w:t xml:space="preserve">These technical and regulatory limitations prevent the development of </w:t>
      </w:r>
      <w:r w:rsidR="00BC06A8" w:rsidRPr="00485300">
        <w:t>mini grids</w:t>
      </w:r>
      <w:r w:rsidR="00485300" w:rsidRPr="00485300">
        <w:t xml:space="preserve"> in small rural communities and in urban business conglomerates</w:t>
      </w:r>
      <w:r w:rsidR="00485300">
        <w:t>;</w:t>
      </w:r>
      <w:r w:rsidR="00485300" w:rsidRPr="00485300">
        <w:t xml:space="preserve"> for </w:t>
      </w:r>
      <w:r w:rsidR="0016702C" w:rsidRPr="00485300">
        <w:t>example,</w:t>
      </w:r>
      <w:r w:rsidR="00485300" w:rsidRPr="00485300">
        <w:t xml:space="preserve"> in industrial parks and free zones, which is a </w:t>
      </w:r>
      <w:r w:rsidR="0016702C">
        <w:t>well-</w:t>
      </w:r>
      <w:r w:rsidR="00485300" w:rsidRPr="00485300">
        <w:t>developed sector in Central America</w:t>
      </w:r>
      <w:r w:rsidR="00485300">
        <w:t>. They have</w:t>
      </w:r>
      <w:r w:rsidR="00485300" w:rsidRPr="00485300">
        <w:t xml:space="preserve"> </w:t>
      </w:r>
      <w:r w:rsidR="00485300">
        <w:t xml:space="preserve">a captive demand, economic </w:t>
      </w:r>
      <w:r w:rsidR="00485300" w:rsidRPr="00485300">
        <w:t>resources to invest, and plenty of roof space available for solar generation.</w:t>
      </w:r>
    </w:p>
    <w:p w14:paraId="63D27E38" w14:textId="4ABC38DD" w:rsidR="0008761B" w:rsidRDefault="0008761B" w:rsidP="003425B3">
      <w:pPr>
        <w:pStyle w:val="Prrafodelista"/>
        <w:numPr>
          <w:ilvl w:val="0"/>
          <w:numId w:val="39"/>
        </w:numPr>
      </w:pPr>
      <w:r w:rsidRPr="006C6356">
        <w:t xml:space="preserve">The </w:t>
      </w:r>
      <w:r w:rsidRPr="00CB3F43">
        <w:rPr>
          <w:b/>
          <w:bCs/>
        </w:rPr>
        <w:t>regional electricity market (MER)</w:t>
      </w:r>
      <w:r w:rsidRPr="006C6356">
        <w:t xml:space="preserve"> does not contemplate medium and long-term transactions between public and private agents.</w:t>
      </w:r>
      <w:r w:rsidR="009A169C">
        <w:t xml:space="preserve"> It only serves the spot market. </w:t>
      </w:r>
      <w:r w:rsidR="009A169C" w:rsidRPr="009A169C">
        <w:t xml:space="preserve">This limits the planning of investments in RE projects aimed at that market, and alienates potential funders who, if it were not for that, would be willing to place resources in </w:t>
      </w:r>
      <w:r w:rsidR="00930100">
        <w:t>this sector</w:t>
      </w:r>
      <w:r w:rsidR="009A169C" w:rsidRPr="009A169C">
        <w:t>.</w:t>
      </w:r>
      <w:r w:rsidR="00CB3F43">
        <w:t xml:space="preserve"> </w:t>
      </w:r>
      <w:r w:rsidR="006C7D83">
        <w:t>Besides this, there are technical barriers in MER.</w:t>
      </w:r>
      <w:r w:rsidR="00CB3F43">
        <w:t xml:space="preserve"> </w:t>
      </w:r>
      <w:r w:rsidRPr="006C6356">
        <w:t>The original capacity of the distribution network is 300 MW; however, part of the infrastructure of the first circuit is not finished</w:t>
      </w:r>
      <w:r w:rsidR="00231BBE">
        <w:t>, and it is already in need of a second circuit that has been delayed for many years</w:t>
      </w:r>
      <w:r w:rsidRPr="006C6356">
        <w:t>.</w:t>
      </w:r>
      <w:r w:rsidR="006C7D83">
        <w:t xml:space="preserve"> The recent announcement from</w:t>
      </w:r>
      <w:r w:rsidR="003425B3">
        <w:t xml:space="preserve"> </w:t>
      </w:r>
      <w:r w:rsidRPr="006C6356">
        <w:t>Guatemala</w:t>
      </w:r>
      <w:r w:rsidR="006C7D83">
        <w:t xml:space="preserve">´s government that they are planning to exit MER, is clear indication that </w:t>
      </w:r>
      <w:r w:rsidRPr="006C6356">
        <w:t>MER regulations must be</w:t>
      </w:r>
      <w:r w:rsidR="006C7D83">
        <w:t xml:space="preserve"> updated and</w:t>
      </w:r>
      <w:r w:rsidRPr="006C6356">
        <w:t xml:space="preserve"> improved.</w:t>
      </w:r>
    </w:p>
    <w:p w14:paraId="432DC73D" w14:textId="3146EA8F" w:rsidR="00CB3F43" w:rsidRPr="00CB3F43" w:rsidRDefault="0008761B" w:rsidP="004E3AC7">
      <w:pPr>
        <w:pStyle w:val="Prrafodelista"/>
        <w:numPr>
          <w:ilvl w:val="0"/>
          <w:numId w:val="39"/>
        </w:numPr>
        <w:rPr>
          <w:b/>
          <w:bCs/>
        </w:rPr>
      </w:pPr>
      <w:r w:rsidRPr="00CB3F43">
        <w:rPr>
          <w:b/>
          <w:bCs/>
        </w:rPr>
        <w:t>Low enthalpy Geothermal</w:t>
      </w:r>
      <w:r w:rsidR="00CB3F43" w:rsidRPr="00CB3F43">
        <w:rPr>
          <w:b/>
          <w:bCs/>
        </w:rPr>
        <w:t xml:space="preserve">. </w:t>
      </w:r>
      <w:r w:rsidRPr="006C6356">
        <w:t xml:space="preserve">There are no regulations </w:t>
      </w:r>
      <w:r w:rsidR="000B3491">
        <w:t xml:space="preserve">and incentives </w:t>
      </w:r>
      <w:r w:rsidRPr="006C6356">
        <w:t>for the use of low enthalpy geothermal potential, yet efforts have been made by European agencies such as GIZ to detonate this market</w:t>
      </w:r>
      <w:r w:rsidR="0074676E">
        <w:t xml:space="preserve"> with the support of SICA</w:t>
      </w:r>
      <w:r w:rsidRPr="006C6356">
        <w:t>.</w:t>
      </w:r>
      <w:r w:rsidR="00CB3F43">
        <w:t xml:space="preserve"> </w:t>
      </w:r>
      <w:r w:rsidRPr="006C6356">
        <w:t xml:space="preserve">There are not enough </w:t>
      </w:r>
      <w:r w:rsidR="0074676E">
        <w:t xml:space="preserve">technical </w:t>
      </w:r>
      <w:r w:rsidRPr="006C6356">
        <w:t xml:space="preserve">studies to define </w:t>
      </w:r>
      <w:r w:rsidR="002C05C2">
        <w:t>its</w:t>
      </w:r>
      <w:r w:rsidR="0074676E">
        <w:t xml:space="preserve"> </w:t>
      </w:r>
      <w:r w:rsidRPr="006C6356">
        <w:t>potential</w:t>
      </w:r>
      <w:r w:rsidR="0074676E">
        <w:t xml:space="preserve">, but it is assumed to be significant given the </w:t>
      </w:r>
      <w:r w:rsidR="0074676E" w:rsidRPr="0074676E">
        <w:t xml:space="preserve">volcanic formations that exist in the region, </w:t>
      </w:r>
      <w:r w:rsidR="0007626F" w:rsidRPr="00D0119E">
        <w:t xml:space="preserve">along with </w:t>
      </w:r>
      <w:r w:rsidR="0074676E" w:rsidRPr="00D0119E">
        <w:t xml:space="preserve">the historical experience with high enthalpy. Prospective studies will </w:t>
      </w:r>
      <w:r w:rsidRPr="00D0119E">
        <w:t>require significant investments</w:t>
      </w:r>
      <w:r w:rsidR="0007626F" w:rsidRPr="00D0119E">
        <w:t xml:space="preserve"> because </w:t>
      </w:r>
      <w:r w:rsidR="000B3491">
        <w:t xml:space="preserve">there </w:t>
      </w:r>
      <w:r w:rsidR="0007626F" w:rsidRPr="00D0119E">
        <w:t xml:space="preserve">is not </w:t>
      </w:r>
      <w:r w:rsidRPr="00D0119E">
        <w:t>enough</w:t>
      </w:r>
      <w:r w:rsidRPr="006C6356">
        <w:t xml:space="preserve"> knowledge about commercial and industrial applications.</w:t>
      </w:r>
    </w:p>
    <w:p w14:paraId="4D65459A" w14:textId="54EFA430" w:rsidR="00F75A48" w:rsidRPr="00DE2810" w:rsidRDefault="00B32007" w:rsidP="00F75A48">
      <w:pPr>
        <w:pStyle w:val="Prrafodelista"/>
        <w:numPr>
          <w:ilvl w:val="0"/>
          <w:numId w:val="39"/>
        </w:numPr>
      </w:pPr>
      <w:r w:rsidRPr="00DE2810">
        <w:rPr>
          <w:b/>
          <w:bCs/>
        </w:rPr>
        <w:t>Monopolistic</w:t>
      </w:r>
      <w:r w:rsidR="0008761B" w:rsidRPr="00DE2810">
        <w:rPr>
          <w:b/>
          <w:bCs/>
        </w:rPr>
        <w:t xml:space="preserve"> </w:t>
      </w:r>
      <w:r w:rsidR="00DE2810" w:rsidRPr="00DE2810">
        <w:rPr>
          <w:b/>
          <w:bCs/>
        </w:rPr>
        <w:t>Policies</w:t>
      </w:r>
      <w:r w:rsidR="00DE2810">
        <w:rPr>
          <w:b/>
          <w:bCs/>
        </w:rPr>
        <w:t xml:space="preserve">, </w:t>
      </w:r>
      <w:r w:rsidR="00DE2810" w:rsidRPr="00DE2810">
        <w:t>for generation, transmission, distribution, and</w:t>
      </w:r>
      <w:r w:rsidR="00755AB6">
        <w:t>/or</w:t>
      </w:r>
      <w:r w:rsidR="00DE2810" w:rsidRPr="00DE2810">
        <w:t xml:space="preserve"> commercialization of electricity</w:t>
      </w:r>
      <w:r w:rsidR="00755AB6">
        <w:t xml:space="preserve"> in Costa Rica, Honduras</w:t>
      </w:r>
      <w:r w:rsidR="001C1D3D">
        <w:t>,</w:t>
      </w:r>
      <w:r w:rsidR="00755AB6">
        <w:t xml:space="preserve"> and Nicaragua</w:t>
      </w:r>
      <w:r w:rsidR="00CB3F43" w:rsidRPr="00DE2810">
        <w:t>.</w:t>
      </w:r>
      <w:r w:rsidR="00CB3F43" w:rsidRPr="00DE2810">
        <w:rPr>
          <w:b/>
          <w:bCs/>
        </w:rPr>
        <w:t xml:space="preserve"> </w:t>
      </w:r>
    </w:p>
    <w:p w14:paraId="766C0EF4" w14:textId="6F3C4B0D" w:rsidR="00DE2810" w:rsidRDefault="00AC66FC" w:rsidP="00DE2810">
      <w:pPr>
        <w:pStyle w:val="Prrafodelista"/>
        <w:numPr>
          <w:ilvl w:val="1"/>
          <w:numId w:val="39"/>
        </w:numPr>
      </w:pPr>
      <w:r>
        <w:t xml:space="preserve">In Costa Rica, the Costa Rican Institute of Electricity (ICE) is a public company </w:t>
      </w:r>
      <w:r w:rsidR="00C57B2C">
        <w:t xml:space="preserve">that </w:t>
      </w:r>
      <w:r>
        <w:t xml:space="preserve">holds a monopoly over </w:t>
      </w:r>
      <w:r w:rsidR="00C57B2C">
        <w:t xml:space="preserve">most generation capacity (85% in practice), controls several natural resources (like geothermal), </w:t>
      </w:r>
      <w:r>
        <w:t>electricity transmission,</w:t>
      </w:r>
      <w:r w:rsidR="00D0119E">
        <w:t xml:space="preserve"> </w:t>
      </w:r>
      <w:r>
        <w:t>distribution</w:t>
      </w:r>
      <w:r w:rsidR="00F365FA">
        <w:t>,</w:t>
      </w:r>
      <w:r w:rsidR="00C57B2C">
        <w:t xml:space="preserve"> transactions in the MER</w:t>
      </w:r>
      <w:r w:rsidR="00F365FA">
        <w:t>, dispatch priorities</w:t>
      </w:r>
      <w:r w:rsidR="00E74DFC">
        <w:t xml:space="preserve">, </w:t>
      </w:r>
      <w:r w:rsidR="00965B81">
        <w:t xml:space="preserve">requirements for distributed generation, </w:t>
      </w:r>
      <w:r w:rsidR="00E74DFC">
        <w:t>and most</w:t>
      </w:r>
      <w:r w:rsidR="00E74DFC" w:rsidRPr="00E74DFC">
        <w:t xml:space="preserve"> </w:t>
      </w:r>
      <w:r w:rsidR="00E74DFC">
        <w:t xml:space="preserve">of </w:t>
      </w:r>
      <w:r w:rsidR="00E74DFC" w:rsidRPr="00E74DFC">
        <w:t>the radio spectrum bands required for the deployment of 5G networks</w:t>
      </w:r>
      <w:r w:rsidR="00A67E29">
        <w:t xml:space="preserve"> (</w:t>
      </w:r>
      <w:r w:rsidR="00A67E29" w:rsidRPr="00A67E29">
        <w:t>inextricably linked</w:t>
      </w:r>
      <w:r w:rsidR="00A67E29">
        <w:t xml:space="preserve"> to smart grid and smart city technologies)</w:t>
      </w:r>
      <w:r>
        <w:t>.</w:t>
      </w:r>
      <w:r w:rsidR="00C57B2C">
        <w:t xml:space="preserve"> </w:t>
      </w:r>
      <w:r>
        <w:t>ICE</w:t>
      </w:r>
      <w:r w:rsidR="00C57B2C">
        <w:t xml:space="preserve"> and its subsidiary CNFL</w:t>
      </w:r>
      <w:r>
        <w:t xml:space="preserve"> </w:t>
      </w:r>
      <w:r w:rsidR="00C57B2C">
        <w:t xml:space="preserve">are </w:t>
      </w:r>
      <w:r>
        <w:t xml:space="preserve">the </w:t>
      </w:r>
      <w:r w:rsidR="001A7470">
        <w:t>only</w:t>
      </w:r>
      <w:r>
        <w:t xml:space="preserve"> entit</w:t>
      </w:r>
      <w:r w:rsidR="00C57B2C">
        <w:t>ies</w:t>
      </w:r>
      <w:r>
        <w:t xml:space="preserve"> that can purchase</w:t>
      </w:r>
      <w:r w:rsidR="00C57B2C">
        <w:t xml:space="preserve"> and sell electricity, except for some relatively small allowances to a few municipalities and rural electrification cooperatives. </w:t>
      </w:r>
    </w:p>
    <w:p w14:paraId="40859650" w14:textId="77181EBE" w:rsidR="007A6086" w:rsidRDefault="00B827E8" w:rsidP="007A6086">
      <w:pPr>
        <w:pStyle w:val="Prrafodelista"/>
        <w:numPr>
          <w:ilvl w:val="1"/>
          <w:numId w:val="39"/>
        </w:numPr>
      </w:pPr>
      <w:r>
        <w:t xml:space="preserve">Since 2014, the </w:t>
      </w:r>
      <w:r w:rsidRPr="00B827E8">
        <w:t>General Law of the Electricity Industry</w:t>
      </w:r>
      <w:r>
        <w:t xml:space="preserve"> indicated that </w:t>
      </w:r>
      <w:r w:rsidR="00AC66FC">
        <w:t>the national electric power company (ENEE) must separate into th</w:t>
      </w:r>
      <w:r w:rsidR="00C57B2C">
        <w:t>ree segments,</w:t>
      </w:r>
      <w:r w:rsidR="00AC66FC">
        <w:t xml:space="preserve"> generation, transmission</w:t>
      </w:r>
      <w:r w:rsidR="00D0119E">
        <w:t>,</w:t>
      </w:r>
      <w:r w:rsidR="00AC66FC">
        <w:t xml:space="preserve"> and distribution</w:t>
      </w:r>
      <w:r w:rsidR="00C57B2C">
        <w:t>; however,</w:t>
      </w:r>
      <w:r w:rsidR="00AC66FC">
        <w:t xml:space="preserve"> this has not happened </w:t>
      </w:r>
      <w:r>
        <w:t>yet</w:t>
      </w:r>
      <w:r w:rsidR="00AC66FC">
        <w:t xml:space="preserve">, and ENEE </w:t>
      </w:r>
      <w:r>
        <w:t xml:space="preserve">continues working as an inefficient monopoly that constantly accumulates financial losses.  These losses represent a tremendous burden for the country, funded with indebtedness currently reaching 27% of the national GDP. </w:t>
      </w:r>
      <w:r w:rsidR="00EB68D3" w:rsidRPr="00EB68D3">
        <w:t>It is estimated that technical and non-technical losses (theft) of energy reach 30% of annual generation, and that ENEE frequently accumulates accounts payable to private generators that are up to one year old.</w:t>
      </w:r>
    </w:p>
    <w:p w14:paraId="657D6F8B" w14:textId="7A1708AC" w:rsidR="00AC66FC" w:rsidRDefault="00AC66FC" w:rsidP="007A6086">
      <w:pPr>
        <w:pStyle w:val="Prrafodelista"/>
        <w:numPr>
          <w:ilvl w:val="1"/>
          <w:numId w:val="39"/>
        </w:numPr>
      </w:pPr>
      <w:r>
        <w:t>The Nicaraguan government</w:t>
      </w:r>
      <w:r w:rsidR="005453C3">
        <w:t xml:space="preserve">, </w:t>
      </w:r>
      <w:r w:rsidR="00E55CCA">
        <w:t>or persons related with it</w:t>
      </w:r>
      <w:r w:rsidR="005453C3">
        <w:t xml:space="preserve">, are </w:t>
      </w:r>
      <w:r>
        <w:t>taking control of all segments of the electricity market,</w:t>
      </w:r>
      <w:r w:rsidR="005453C3">
        <w:t xml:space="preserve"> through the 2020 ownership transfer / management control of </w:t>
      </w:r>
      <w:r w:rsidR="005453C3" w:rsidRPr="005453C3">
        <w:t xml:space="preserve">Disnorte </w:t>
      </w:r>
      <w:r w:rsidR="005453C3">
        <w:t>and</w:t>
      </w:r>
      <w:r w:rsidR="005453C3" w:rsidRPr="005453C3">
        <w:t xml:space="preserve"> Dissur</w:t>
      </w:r>
      <w:r w:rsidR="005453C3">
        <w:t xml:space="preserve"> (the two distribution entities), and of the generation segment through ALBANISA</w:t>
      </w:r>
      <w:r w:rsidR="00A542F4">
        <w:t xml:space="preserve"> (the larger RE and thermal generator)</w:t>
      </w:r>
      <w:r>
        <w:t xml:space="preserve">. </w:t>
      </w:r>
    </w:p>
    <w:p w14:paraId="6A14DA20" w14:textId="77777777" w:rsidR="00607103" w:rsidRDefault="00607103" w:rsidP="00AC66FC">
      <w:pPr>
        <w:pStyle w:val="Prrafodelista"/>
        <w:numPr>
          <w:ilvl w:val="0"/>
          <w:numId w:val="0"/>
        </w:numPr>
        <w:ind w:left="360"/>
      </w:pPr>
    </w:p>
    <w:p w14:paraId="7DD95C64" w14:textId="7A344555" w:rsidR="002126F0" w:rsidRDefault="00473B1A" w:rsidP="002126F0">
      <w:pPr>
        <w:pStyle w:val="Prrafodelista"/>
        <w:numPr>
          <w:ilvl w:val="0"/>
          <w:numId w:val="39"/>
        </w:numPr>
      </w:pPr>
      <w:r w:rsidRPr="00473B1A">
        <w:rPr>
          <w:b/>
          <w:bCs/>
        </w:rPr>
        <w:t>Deficiencies in capacity and efficiency of transmission and distribution networks</w:t>
      </w:r>
      <w:r>
        <w:t xml:space="preserve">. </w:t>
      </w:r>
      <w:r w:rsidR="00AC66FC" w:rsidRPr="00473B1A">
        <w:t>To a greater or lesser extent, the</w:t>
      </w:r>
      <w:r w:rsidR="00C57B2C" w:rsidRPr="00473B1A">
        <w:t xml:space="preserve"> national</w:t>
      </w:r>
      <w:r w:rsidR="00AC66FC" w:rsidRPr="00473B1A">
        <w:t xml:space="preserve"> transmission and distribution networks need to be updated and improve</w:t>
      </w:r>
      <w:r w:rsidR="00C57B2C" w:rsidRPr="00473B1A">
        <w:t>d</w:t>
      </w:r>
      <w:r w:rsidR="00AC66FC" w:rsidRPr="00473B1A">
        <w:t xml:space="preserve"> their capabilities to provide better service reliability, meet future demands, integrate distributed generation, </w:t>
      </w:r>
      <w:r w:rsidR="00C57B2C" w:rsidRPr="00473B1A">
        <w:t xml:space="preserve">and </w:t>
      </w:r>
      <w:r w:rsidR="00AC66FC" w:rsidRPr="00473B1A">
        <w:t>create more exchanges between countries.</w:t>
      </w:r>
    </w:p>
    <w:p w14:paraId="73BA6AFA" w14:textId="3437DDC3" w:rsidR="00AC66FC" w:rsidRDefault="002126F0" w:rsidP="002126F0">
      <w:pPr>
        <w:pStyle w:val="Prrafodelista"/>
        <w:numPr>
          <w:ilvl w:val="0"/>
          <w:numId w:val="39"/>
        </w:numPr>
      </w:pPr>
      <w:r w:rsidRPr="002126F0">
        <w:rPr>
          <w:b/>
          <w:bCs/>
        </w:rPr>
        <w:t>Long term electricity commercialization contracts (Power Purchase Agreements- PPAs)</w:t>
      </w:r>
      <w:r>
        <w:t xml:space="preserve">, </w:t>
      </w:r>
      <w:r w:rsidR="00AC66FC">
        <w:t xml:space="preserve">are designed for dispatchable technologies such as coal, gas, </w:t>
      </w:r>
      <w:r>
        <w:t>diesel</w:t>
      </w:r>
      <w:r w:rsidR="001C1D3D">
        <w:t>,</w:t>
      </w:r>
      <w:r w:rsidR="00AC66FC">
        <w:t xml:space="preserve"> and hydroelectricity, and </w:t>
      </w:r>
      <w:r w:rsidR="007B0FAD">
        <w:t>ultimately voiding</w:t>
      </w:r>
      <w:r w:rsidR="00AC66FC">
        <w:t xml:space="preserve"> new wind and solar PV projects</w:t>
      </w:r>
      <w:r>
        <w:t xml:space="preserve">. </w:t>
      </w:r>
      <w:r w:rsidR="00236688">
        <w:t>In general, current policies and regulations are lacking an</w:t>
      </w:r>
      <w:r w:rsidR="0008761B" w:rsidRPr="006C6356">
        <w:t xml:space="preserve"> update on </w:t>
      </w:r>
      <w:r w:rsidR="0008761B" w:rsidRPr="002126F0">
        <w:rPr>
          <w:b/>
          <w:bCs/>
        </w:rPr>
        <w:t xml:space="preserve">incentives </w:t>
      </w:r>
      <w:r w:rsidR="0008761B" w:rsidRPr="006C6356">
        <w:t xml:space="preserve">and mechanisms to grant them, </w:t>
      </w:r>
      <w:r w:rsidR="00354757">
        <w:t>covering</w:t>
      </w:r>
      <w:r w:rsidR="0008761B" w:rsidRPr="006C6356">
        <w:t xml:space="preserve"> incentives for </w:t>
      </w:r>
      <w:r w:rsidR="00354757">
        <w:t xml:space="preserve">new technologies like </w:t>
      </w:r>
      <w:r w:rsidR="00236688">
        <w:t>e</w:t>
      </w:r>
      <w:r w:rsidR="0008761B" w:rsidRPr="006C6356">
        <w:t xml:space="preserve">lectromobility, </w:t>
      </w:r>
      <w:r w:rsidR="00236688">
        <w:t xml:space="preserve">green </w:t>
      </w:r>
      <w:r w:rsidR="0008761B" w:rsidRPr="006C6356">
        <w:t xml:space="preserve">hydrogen, </w:t>
      </w:r>
      <w:r w:rsidR="00AC66FC">
        <w:t xml:space="preserve">low enthalpy geothermal energy, energy storage, smart grids, </w:t>
      </w:r>
      <w:r w:rsidR="00236688">
        <w:t xml:space="preserve">RE integration with </w:t>
      </w:r>
      <w:r w:rsidR="00AC66FC">
        <w:t xml:space="preserve">5G technologies, </w:t>
      </w:r>
      <w:r w:rsidR="00236688">
        <w:t xml:space="preserve">and </w:t>
      </w:r>
      <w:r w:rsidR="00AC66FC">
        <w:t>microgrids</w:t>
      </w:r>
      <w:r w:rsidR="00236688">
        <w:t>, among other potential market niches.</w:t>
      </w:r>
      <w:r w:rsidR="00AC66FC">
        <w:t xml:space="preserve"> </w:t>
      </w:r>
      <w:r w:rsidR="00AC66FC" w:rsidRPr="00AC66FC">
        <w:fldChar w:fldCharType="begin"/>
      </w:r>
      <w:r w:rsidR="00AC66FC" w:rsidRPr="00AC66FC">
        <w:instrText xml:space="preserve"> REF _Ref80114803 \h  \* MERGEFORMAT </w:instrText>
      </w:r>
      <w:r w:rsidR="00AC66FC" w:rsidRPr="00AC66FC">
        <w:fldChar w:fldCharType="separate"/>
      </w:r>
      <w:r w:rsidR="00D054D0" w:rsidRPr="00D054D0">
        <w:t xml:space="preserve">Table </w:t>
      </w:r>
      <w:r w:rsidR="00D054D0" w:rsidRPr="00D054D0">
        <w:rPr>
          <w:noProof/>
        </w:rPr>
        <w:t>12</w:t>
      </w:r>
      <w:r w:rsidR="00AC66FC" w:rsidRPr="00AC66FC">
        <w:fldChar w:fldCharType="end"/>
      </w:r>
      <w:r w:rsidR="00AC66FC" w:rsidRPr="00AC66FC">
        <w:t xml:space="preserve"> summarizes</w:t>
      </w:r>
      <w:r w:rsidR="00AC66FC">
        <w:t xml:space="preserve"> the incentives that current regulations have for renewable energies.</w:t>
      </w:r>
    </w:p>
    <w:bookmarkEnd w:id="20"/>
    <w:p w14:paraId="62548B75" w14:textId="77777777" w:rsidR="00236688" w:rsidRDefault="00236688" w:rsidP="00236688">
      <w:pPr>
        <w:pStyle w:val="Prrafodelista"/>
        <w:numPr>
          <w:ilvl w:val="0"/>
          <w:numId w:val="0"/>
        </w:numPr>
        <w:ind w:left="360"/>
      </w:pPr>
    </w:p>
    <w:p w14:paraId="51A70144" w14:textId="477979C4" w:rsidR="00AC66FC" w:rsidRPr="00AC66FC" w:rsidRDefault="00AC66FC" w:rsidP="00AC66FC">
      <w:pPr>
        <w:pStyle w:val="Descripcin"/>
        <w:keepNext/>
        <w:ind w:left="360"/>
        <w:jc w:val="center"/>
        <w:rPr>
          <w:rFonts w:asciiTheme="minorHAnsi" w:hAnsiTheme="minorHAnsi"/>
        </w:rPr>
      </w:pPr>
      <w:bookmarkStart w:id="21" w:name="_Ref80114803"/>
      <w:r w:rsidRPr="00AC66FC">
        <w:rPr>
          <w:b/>
          <w:bCs/>
        </w:rPr>
        <w:t xml:space="preserve">Table </w:t>
      </w:r>
      <w:r w:rsidRPr="00AC66FC">
        <w:rPr>
          <w:b/>
          <w:bCs/>
        </w:rPr>
        <w:fldChar w:fldCharType="begin"/>
      </w:r>
      <w:r w:rsidRPr="00AC66FC">
        <w:rPr>
          <w:b/>
          <w:bCs/>
        </w:rPr>
        <w:instrText xml:space="preserve"> SEQ Table \* ARABIC </w:instrText>
      </w:r>
      <w:r w:rsidRPr="00AC66FC">
        <w:rPr>
          <w:b/>
          <w:bCs/>
        </w:rPr>
        <w:fldChar w:fldCharType="separate"/>
      </w:r>
      <w:r w:rsidR="00D054D0">
        <w:rPr>
          <w:b/>
          <w:bCs/>
          <w:noProof/>
        </w:rPr>
        <w:t>12</w:t>
      </w:r>
      <w:r w:rsidRPr="00AC66FC">
        <w:rPr>
          <w:b/>
          <w:bCs/>
        </w:rPr>
        <w:fldChar w:fldCharType="end"/>
      </w:r>
      <w:bookmarkEnd w:id="21"/>
      <w:r w:rsidRPr="00AC66FC">
        <w:rPr>
          <w:b/>
          <w:bCs/>
        </w:rPr>
        <w:t>.</w:t>
      </w:r>
      <w:r w:rsidRPr="00AC66FC">
        <w:t xml:space="preserve"> Incentives that each country established around renewable energies.</w:t>
      </w:r>
    </w:p>
    <w:p w14:paraId="0EE85EB4" w14:textId="1C14270A" w:rsidR="00AC66FC" w:rsidRDefault="009C51D7" w:rsidP="00AC66FC">
      <w:pPr>
        <w:pStyle w:val="Prrafodelista"/>
        <w:numPr>
          <w:ilvl w:val="0"/>
          <w:numId w:val="0"/>
        </w:numPr>
        <w:ind w:left="360"/>
        <w:jc w:val="center"/>
      </w:pPr>
      <w:r>
        <w:rPr>
          <w:noProof/>
        </w:rPr>
        <w:drawing>
          <wp:inline distT="0" distB="0" distL="0" distR="0" wp14:anchorId="115ADEFE" wp14:editId="2083C677">
            <wp:extent cx="4320000" cy="2392890"/>
            <wp:effectExtent l="0" t="0" r="4445" b="762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20000" cy="2392890"/>
                    </a:xfrm>
                    <a:prstGeom prst="rect">
                      <a:avLst/>
                    </a:prstGeom>
                    <a:noFill/>
                  </pic:spPr>
                </pic:pic>
              </a:graphicData>
            </a:graphic>
          </wp:inline>
        </w:drawing>
      </w:r>
    </w:p>
    <w:p w14:paraId="3125B632" w14:textId="77777777" w:rsidR="00AC66FC" w:rsidRDefault="00AC66FC" w:rsidP="00AC66FC">
      <w:pPr>
        <w:pStyle w:val="Prrafodelista"/>
        <w:numPr>
          <w:ilvl w:val="0"/>
          <w:numId w:val="0"/>
        </w:numPr>
        <w:ind w:left="360"/>
      </w:pPr>
    </w:p>
    <w:p w14:paraId="5F6C5B0A" w14:textId="77AF2DF6" w:rsidR="0024685F" w:rsidRPr="00472B84" w:rsidRDefault="0024685F" w:rsidP="00336136">
      <w:pPr>
        <w:spacing w:line="240" w:lineRule="auto"/>
      </w:pPr>
    </w:p>
    <w:p w14:paraId="2B4ACAA8" w14:textId="758226BE" w:rsidR="008F09B0" w:rsidRPr="00472B84" w:rsidRDefault="008F09B0" w:rsidP="00336136">
      <w:pPr>
        <w:pStyle w:val="Ttulo2"/>
        <w:spacing w:before="0" w:line="240" w:lineRule="auto"/>
      </w:pPr>
      <w:bookmarkStart w:id="22" w:name="_Toc90453966"/>
      <w:r w:rsidRPr="00472B84">
        <w:t>Validation of identified barriers and potential actions to solve them</w:t>
      </w:r>
      <w:bookmarkEnd w:id="22"/>
    </w:p>
    <w:p w14:paraId="656A232C" w14:textId="09F1DFFA" w:rsidR="00EB1DFD" w:rsidRDefault="00EB1DFD" w:rsidP="00336136">
      <w:pPr>
        <w:spacing w:line="240" w:lineRule="auto"/>
        <w:rPr>
          <w:szCs w:val="20"/>
        </w:rPr>
      </w:pPr>
      <w:r w:rsidRPr="005D39F7">
        <w:rPr>
          <w:szCs w:val="20"/>
          <w:lang w:val="en"/>
        </w:rPr>
        <w:t>A series of interviews were conducted</w:t>
      </w:r>
      <w:r>
        <w:rPr>
          <w:szCs w:val="20"/>
          <w:lang w:val="en"/>
        </w:rPr>
        <w:t xml:space="preserve"> with relevant </w:t>
      </w:r>
      <w:r w:rsidR="003425B3">
        <w:rPr>
          <w:szCs w:val="20"/>
          <w:lang w:val="en"/>
        </w:rPr>
        <w:t xml:space="preserve">stakeholders </w:t>
      </w:r>
      <w:r>
        <w:rPr>
          <w:szCs w:val="20"/>
          <w:lang w:val="en"/>
        </w:rPr>
        <w:t xml:space="preserve">in the renewable energy market in Central America. </w:t>
      </w:r>
      <w:r w:rsidR="00850C34">
        <w:rPr>
          <w:szCs w:val="20"/>
          <w:lang w:val="en"/>
        </w:rPr>
        <w:t>Their</w:t>
      </w:r>
      <w:r>
        <w:rPr>
          <w:szCs w:val="20"/>
          <w:lang w:val="en"/>
        </w:rPr>
        <w:t xml:space="preserve"> </w:t>
      </w:r>
      <w:r w:rsidR="003425B3">
        <w:rPr>
          <w:szCs w:val="20"/>
          <w:lang w:val="en"/>
        </w:rPr>
        <w:t>opinions</w:t>
      </w:r>
      <w:r>
        <w:rPr>
          <w:szCs w:val="20"/>
          <w:lang w:val="en"/>
        </w:rPr>
        <w:t xml:space="preserve"> were </w:t>
      </w:r>
      <w:r w:rsidR="003425B3">
        <w:rPr>
          <w:szCs w:val="20"/>
          <w:lang w:val="en"/>
        </w:rPr>
        <w:t xml:space="preserve">mainly </w:t>
      </w:r>
      <w:r>
        <w:rPr>
          <w:szCs w:val="20"/>
          <w:lang w:val="en"/>
        </w:rPr>
        <w:t>considered in the preparation of this section of the report, as well as in section 4.4. (</w:t>
      </w:r>
      <w:r w:rsidR="005A0DD3">
        <w:rPr>
          <w:szCs w:val="20"/>
          <w:lang w:val="en"/>
        </w:rPr>
        <w:t>Validation</w:t>
      </w:r>
      <w:r>
        <w:rPr>
          <w:szCs w:val="20"/>
          <w:lang w:val="en"/>
        </w:rPr>
        <w:t xml:space="preserve"> of</w:t>
      </w:r>
      <w:r>
        <w:rPr>
          <w:lang w:val="en"/>
        </w:rPr>
        <w:t xml:space="preserve"> </w:t>
      </w:r>
      <w:r>
        <w:rPr>
          <w:szCs w:val="20"/>
          <w:lang w:val="en"/>
        </w:rPr>
        <w:t>market</w:t>
      </w:r>
      <w:r>
        <w:rPr>
          <w:lang w:val="en"/>
        </w:rPr>
        <w:t xml:space="preserve"> </w:t>
      </w:r>
      <w:r>
        <w:rPr>
          <w:szCs w:val="20"/>
          <w:lang w:val="en"/>
        </w:rPr>
        <w:t>opportunities).</w:t>
      </w:r>
      <w:r>
        <w:rPr>
          <w:lang w:val="en"/>
        </w:rPr>
        <w:t xml:space="preserve"> </w:t>
      </w:r>
      <w:r>
        <w:rPr>
          <w:szCs w:val="20"/>
          <w:lang w:val="en"/>
        </w:rPr>
        <w:t>To keep the confidentiality, the opinions were summarized according to</w:t>
      </w:r>
      <w:r>
        <w:rPr>
          <w:lang w:val="en"/>
        </w:rPr>
        <w:t xml:space="preserve"> the topics</w:t>
      </w:r>
      <w:r>
        <w:rPr>
          <w:szCs w:val="20"/>
          <w:lang w:val="en"/>
        </w:rPr>
        <w:t xml:space="preserve"> addressed</w:t>
      </w:r>
      <w:r w:rsidR="003425B3">
        <w:rPr>
          <w:szCs w:val="20"/>
          <w:lang w:val="en"/>
        </w:rPr>
        <w:t xml:space="preserve">. Also, they are not </w:t>
      </w:r>
      <w:r>
        <w:rPr>
          <w:szCs w:val="20"/>
          <w:lang w:val="en"/>
        </w:rPr>
        <w:t>presented individually but</w:t>
      </w:r>
      <w:r w:rsidR="00850C34">
        <w:rPr>
          <w:szCs w:val="20"/>
          <w:lang w:val="en"/>
        </w:rPr>
        <w:t xml:space="preserve"> in</w:t>
      </w:r>
      <w:r>
        <w:rPr>
          <w:szCs w:val="20"/>
          <w:lang w:val="en"/>
        </w:rPr>
        <w:t xml:space="preserve"> aggregated</w:t>
      </w:r>
      <w:r w:rsidR="00850C34">
        <w:rPr>
          <w:szCs w:val="20"/>
          <w:lang w:val="en"/>
        </w:rPr>
        <w:t xml:space="preserve"> way</w:t>
      </w:r>
      <w:r>
        <w:rPr>
          <w:szCs w:val="20"/>
          <w:lang w:val="en"/>
        </w:rPr>
        <w:t>.</w:t>
      </w:r>
      <w:r w:rsidR="00BC4257">
        <w:rPr>
          <w:szCs w:val="20"/>
          <w:lang w:val="en"/>
        </w:rPr>
        <w:t xml:space="preserve"> </w:t>
      </w:r>
      <w:r w:rsidR="00850C34">
        <w:rPr>
          <w:szCs w:val="20"/>
          <w:lang w:val="en"/>
        </w:rPr>
        <w:t>The names</w:t>
      </w:r>
      <w:r w:rsidR="00477423">
        <w:rPr>
          <w:szCs w:val="20"/>
          <w:lang w:val="en"/>
        </w:rPr>
        <w:t xml:space="preserve"> </w:t>
      </w:r>
      <w:r w:rsidR="00850C34">
        <w:rPr>
          <w:szCs w:val="20"/>
          <w:lang w:val="en"/>
        </w:rPr>
        <w:t>and institutions of</w:t>
      </w:r>
      <w:r w:rsidR="00BC4257" w:rsidRPr="00BC4257">
        <w:rPr>
          <w:szCs w:val="20"/>
          <w:lang w:val="en"/>
        </w:rPr>
        <w:t xml:space="preserve"> the </w:t>
      </w:r>
      <w:r w:rsidR="00850C34">
        <w:rPr>
          <w:szCs w:val="20"/>
          <w:lang w:val="en"/>
        </w:rPr>
        <w:t xml:space="preserve">stakeholders </w:t>
      </w:r>
      <w:r w:rsidR="00BC4257" w:rsidRPr="00BC4257">
        <w:rPr>
          <w:szCs w:val="20"/>
          <w:lang w:val="en"/>
        </w:rPr>
        <w:t>interviewed can be found in Annex 2.</w:t>
      </w:r>
    </w:p>
    <w:p w14:paraId="43E62DA5" w14:textId="467A4E0D" w:rsidR="00EB1DFD" w:rsidRPr="00954CD3" w:rsidRDefault="00EB1DFD" w:rsidP="00336136">
      <w:pPr>
        <w:spacing w:line="240" w:lineRule="auto"/>
        <w:rPr>
          <w:b/>
          <w:bCs/>
          <w:szCs w:val="20"/>
          <w:u w:val="single"/>
        </w:rPr>
      </w:pPr>
      <w:r w:rsidRPr="00954CD3">
        <w:rPr>
          <w:b/>
          <w:bCs/>
          <w:szCs w:val="20"/>
          <w:u w:val="single"/>
        </w:rPr>
        <w:t>Regulatory</w:t>
      </w:r>
      <w:r w:rsidR="00D767A7">
        <w:rPr>
          <w:b/>
          <w:bCs/>
          <w:szCs w:val="20"/>
          <w:u w:val="single"/>
        </w:rPr>
        <w:t xml:space="preserve"> and Technical</w:t>
      </w:r>
      <w:r w:rsidRPr="00954CD3">
        <w:rPr>
          <w:b/>
          <w:bCs/>
          <w:szCs w:val="20"/>
          <w:u w:val="single"/>
        </w:rPr>
        <w:t xml:space="preserve"> Barriers for further deployment of RE in Central America</w:t>
      </w:r>
    </w:p>
    <w:p w14:paraId="5C78F321" w14:textId="16DB6B17" w:rsidR="00EB1DFD" w:rsidRPr="00954CD3" w:rsidRDefault="00263EB1" w:rsidP="00336136">
      <w:pPr>
        <w:pStyle w:val="Prrafodelista"/>
        <w:numPr>
          <w:ilvl w:val="0"/>
          <w:numId w:val="32"/>
        </w:numPr>
        <w:spacing w:after="160"/>
      </w:pPr>
      <w:r>
        <w:t>For some of the interviewees, the</w:t>
      </w:r>
      <w:r w:rsidR="00EB1DFD" w:rsidRPr="00954CD3">
        <w:t xml:space="preserve"> technical and financial barriers that exist</w:t>
      </w:r>
      <w:r>
        <w:t xml:space="preserve"> in Central America</w:t>
      </w:r>
      <w:r w:rsidR="00EB1DFD" w:rsidRPr="00954CD3">
        <w:t xml:space="preserve"> for renewable energies are not </w:t>
      </w:r>
      <w:r w:rsidR="00D767A7">
        <w:t xml:space="preserve">very </w:t>
      </w:r>
      <w:r w:rsidR="003425B3">
        <w:t>significant.</w:t>
      </w:r>
      <w:r w:rsidR="00EB1DFD" w:rsidRPr="00954CD3">
        <w:t xml:space="preserve"> However, the </w:t>
      </w:r>
      <w:r w:rsidR="003425B3" w:rsidRPr="00954CD3">
        <w:t>regulator</w:t>
      </w:r>
      <w:r w:rsidR="003425B3">
        <w:t xml:space="preserve">y barriers </w:t>
      </w:r>
      <w:r w:rsidR="00EB1DFD" w:rsidRPr="00954CD3">
        <w:t>currently are</w:t>
      </w:r>
      <w:r w:rsidR="003425B3">
        <w:t xml:space="preserve">, especially in </w:t>
      </w:r>
      <w:r w:rsidR="00EB1DFD" w:rsidRPr="00954CD3">
        <w:t xml:space="preserve">Costa Rica </w:t>
      </w:r>
      <w:r w:rsidR="003425B3">
        <w:t xml:space="preserve">where </w:t>
      </w:r>
      <w:r w:rsidR="00D175BB">
        <w:t>many</w:t>
      </w:r>
      <w:r w:rsidR="003425B3">
        <w:t xml:space="preserve"> </w:t>
      </w:r>
      <w:r w:rsidR="00B760DF">
        <w:t xml:space="preserve">regulatory limits </w:t>
      </w:r>
      <w:r w:rsidR="00EB1DFD" w:rsidRPr="00954CD3">
        <w:t>exist. To stimulate investment in projects of this type,</w:t>
      </w:r>
      <w:r w:rsidR="0013613D">
        <w:t xml:space="preserve"> one of the experts recommended getting </w:t>
      </w:r>
      <w:r w:rsidR="00424B74">
        <w:t>advice</w:t>
      </w:r>
      <w:r w:rsidR="0013613D">
        <w:t xml:space="preserve"> on </w:t>
      </w:r>
      <w:r w:rsidR="00EB1DFD" w:rsidRPr="00954CD3">
        <w:t>the Dutch or German distributed generation models.</w:t>
      </w:r>
    </w:p>
    <w:p w14:paraId="27142ACE" w14:textId="2DAA023E" w:rsidR="00EB1DFD" w:rsidRPr="00954CD3" w:rsidRDefault="00EB1DFD" w:rsidP="00336136">
      <w:pPr>
        <w:pStyle w:val="Prrafodelista"/>
        <w:numPr>
          <w:ilvl w:val="0"/>
          <w:numId w:val="32"/>
        </w:numPr>
        <w:spacing w:after="160"/>
      </w:pPr>
      <w:r w:rsidRPr="00954CD3">
        <w:t>Another barrier encountered is the paperwork and the time it takes for the approval of the license to become a</w:t>
      </w:r>
      <w:r w:rsidR="00424B74">
        <w:t>n independent</w:t>
      </w:r>
      <w:r w:rsidRPr="00954CD3">
        <w:t xml:space="preserve"> power generator.</w:t>
      </w:r>
    </w:p>
    <w:p w14:paraId="4BBAF74E" w14:textId="6F811A4F" w:rsidR="00EB1DFD" w:rsidRPr="00954CD3" w:rsidRDefault="00EB1DFD" w:rsidP="00336136">
      <w:pPr>
        <w:pStyle w:val="Prrafodelista"/>
        <w:numPr>
          <w:ilvl w:val="0"/>
          <w:numId w:val="32"/>
        </w:numPr>
        <w:spacing w:after="160"/>
      </w:pPr>
      <w:r w:rsidRPr="00954CD3">
        <w:t>Investment in RE has increased mainly due to the perception of high electricity prices by the industrial sector.</w:t>
      </w:r>
      <w:r w:rsidR="00424B74">
        <w:t xml:space="preserve"> In most countries, this sector leads the consumer’s pressure to get new energy policies from the governments.</w:t>
      </w:r>
    </w:p>
    <w:p w14:paraId="5EAE3656" w14:textId="59571355" w:rsidR="00EB1DFD" w:rsidRPr="00954CD3" w:rsidRDefault="00EB1DFD" w:rsidP="00336136">
      <w:pPr>
        <w:pStyle w:val="Prrafodelista"/>
        <w:numPr>
          <w:ilvl w:val="0"/>
          <w:numId w:val="32"/>
        </w:numPr>
        <w:spacing w:after="160"/>
      </w:pPr>
      <w:r w:rsidRPr="00954CD3">
        <w:t>Another regulatory barrier is the existence of regulation</w:t>
      </w:r>
      <w:r w:rsidR="00424B74">
        <w:t>s indicating</w:t>
      </w:r>
      <w:r w:rsidRPr="00954CD3">
        <w:t xml:space="preserve"> that final consumers </w:t>
      </w:r>
      <w:r w:rsidR="005D6FD7">
        <w:t>cannot sell or even</w:t>
      </w:r>
      <w:r w:rsidRPr="00954CD3">
        <w:t xml:space="preserve"> inject surplus energy into the grid</w:t>
      </w:r>
      <w:r w:rsidR="005D6FD7">
        <w:t xml:space="preserve">. </w:t>
      </w:r>
    </w:p>
    <w:p w14:paraId="41A56321" w14:textId="77777777" w:rsidR="00AC3E92" w:rsidRDefault="00EB1DFD" w:rsidP="00AC3E92">
      <w:pPr>
        <w:pStyle w:val="Prrafodelista"/>
        <w:numPr>
          <w:ilvl w:val="0"/>
          <w:numId w:val="32"/>
        </w:numPr>
        <w:spacing w:after="160"/>
      </w:pPr>
      <w:r w:rsidRPr="00954CD3">
        <w:t>Low enthalpy geothermal energy production is a</w:t>
      </w:r>
      <w:r w:rsidR="00B760DF">
        <w:t xml:space="preserve"> window of</w:t>
      </w:r>
      <w:r w:rsidRPr="00954CD3">
        <w:t xml:space="preserve"> opportunit</w:t>
      </w:r>
      <w:r w:rsidR="00B760DF">
        <w:t xml:space="preserve">y in </w:t>
      </w:r>
      <w:r w:rsidR="005D6FD7">
        <w:t>several</w:t>
      </w:r>
      <w:r w:rsidR="00B760DF">
        <w:t xml:space="preserve"> </w:t>
      </w:r>
      <w:r w:rsidRPr="00954CD3">
        <w:t>countries</w:t>
      </w:r>
      <w:r w:rsidR="00B760DF">
        <w:t xml:space="preserve">. However, </w:t>
      </w:r>
      <w:r w:rsidRPr="00954CD3">
        <w:t xml:space="preserve">adequate policies and regulations </w:t>
      </w:r>
      <w:r w:rsidR="005D6FD7">
        <w:t>are still lacking</w:t>
      </w:r>
      <w:r w:rsidRPr="00954CD3">
        <w:t>, tailored to each country to avoid overexploitation</w:t>
      </w:r>
      <w:r w:rsidR="005D6FD7">
        <w:t xml:space="preserve"> or damages to other natural resources.</w:t>
      </w:r>
    </w:p>
    <w:p w14:paraId="26C93159" w14:textId="7615E955" w:rsidR="00727157" w:rsidRDefault="00BF4B54" w:rsidP="00AC3E92">
      <w:pPr>
        <w:pStyle w:val="Prrafodelista"/>
        <w:numPr>
          <w:ilvl w:val="0"/>
          <w:numId w:val="32"/>
        </w:numPr>
        <w:spacing w:after="160"/>
      </w:pPr>
      <w:r>
        <w:t>Limitations in t</w:t>
      </w:r>
      <w:r w:rsidR="00EB1DFD" w:rsidRPr="00954CD3">
        <w:t>ransmission capacity</w:t>
      </w:r>
      <w:r w:rsidR="00727157">
        <w:t xml:space="preserve"> (both for MER</w:t>
      </w:r>
      <w:r>
        <w:t>/SIEPA</w:t>
      </w:r>
      <w:r w:rsidR="004D7A15">
        <w:t>C</w:t>
      </w:r>
      <w:r w:rsidR="00727157">
        <w:t xml:space="preserve"> and at national levels in Honduras and Nicaragua especially).</w:t>
      </w:r>
      <w:r>
        <w:t xml:space="preserve"> </w:t>
      </w:r>
      <w:r w:rsidRPr="00BF4B54">
        <w:t xml:space="preserve">In Honduras, for example, the low transmission capacity in </w:t>
      </w:r>
      <w:r>
        <w:t>their</w:t>
      </w:r>
      <w:r w:rsidRPr="00BF4B54">
        <w:t xml:space="preserve"> </w:t>
      </w:r>
      <w:r>
        <w:t>sub</w:t>
      </w:r>
      <w:r w:rsidRPr="00BF4B54">
        <w:t xml:space="preserve">stations means that </w:t>
      </w:r>
      <w:r>
        <w:t>transactions</w:t>
      </w:r>
      <w:r w:rsidRPr="00BF4B54">
        <w:t xml:space="preserve"> with Guatemala</w:t>
      </w:r>
      <w:r w:rsidR="004C4364">
        <w:t xml:space="preserve"> are</w:t>
      </w:r>
      <w:r w:rsidRPr="00BF4B54">
        <w:t xml:space="preserve"> </w:t>
      </w:r>
      <w:r>
        <w:t>limited</w:t>
      </w:r>
      <w:r w:rsidR="00905B79">
        <w:t>, which is not a problem between Guatemala and El Salvador.</w:t>
      </w:r>
    </w:p>
    <w:p w14:paraId="55865E53" w14:textId="362FC02D" w:rsidR="00727157" w:rsidRDefault="00727157" w:rsidP="00336136">
      <w:pPr>
        <w:pStyle w:val="Prrafodelista"/>
        <w:numPr>
          <w:ilvl w:val="0"/>
          <w:numId w:val="33"/>
        </w:numPr>
        <w:spacing w:after="160"/>
      </w:pPr>
      <w:r>
        <w:t>L</w:t>
      </w:r>
      <w:r w:rsidR="00EB1DFD" w:rsidRPr="00954CD3">
        <w:t>ow participation of non-convention</w:t>
      </w:r>
      <w:r>
        <w:t>al</w:t>
      </w:r>
      <w:r w:rsidR="00EB1DFD" w:rsidRPr="00954CD3">
        <w:t xml:space="preserve"> RE (except for Honduras)</w:t>
      </w:r>
      <w:r>
        <w:t>.</w:t>
      </w:r>
    </w:p>
    <w:p w14:paraId="60EC4C1F" w14:textId="6A4F532E" w:rsidR="00E2484F" w:rsidRDefault="00C73C98" w:rsidP="00336136">
      <w:pPr>
        <w:pStyle w:val="Prrafodelista"/>
        <w:numPr>
          <w:ilvl w:val="0"/>
          <w:numId w:val="33"/>
        </w:numPr>
        <w:spacing w:after="160"/>
      </w:pPr>
      <w:r>
        <w:t>Arguments that more</w:t>
      </w:r>
      <w:r w:rsidR="00E2484F">
        <w:t xml:space="preserve"> </w:t>
      </w:r>
      <w:r w:rsidR="00AE5271">
        <w:t>firm-power source</w:t>
      </w:r>
      <w:r>
        <w:t>s (hydro, gas, geothermal) are needed</w:t>
      </w:r>
      <w:r w:rsidR="00AE5271">
        <w:t xml:space="preserve"> to back-up a higher penetration of intermittent non-conventional RE (wind, solar)</w:t>
      </w:r>
      <w:r w:rsidR="002A7923">
        <w:t>, especially in Costa Rica.</w:t>
      </w:r>
    </w:p>
    <w:p w14:paraId="7C3BE33B" w14:textId="1CDDDAEF" w:rsidR="00EB1DFD" w:rsidRPr="00954CD3" w:rsidRDefault="00727157" w:rsidP="00336136">
      <w:pPr>
        <w:pStyle w:val="Prrafodelista"/>
        <w:numPr>
          <w:ilvl w:val="0"/>
          <w:numId w:val="33"/>
        </w:numPr>
        <w:spacing w:after="160"/>
      </w:pPr>
      <w:r>
        <w:t>L</w:t>
      </w:r>
      <w:r w:rsidR="00EB1DFD" w:rsidRPr="00954CD3">
        <w:t xml:space="preserve">ack of data and </w:t>
      </w:r>
      <w:r>
        <w:t xml:space="preserve">technical </w:t>
      </w:r>
      <w:r w:rsidR="00EB1DFD" w:rsidRPr="00954CD3">
        <w:t xml:space="preserve">knowledge in </w:t>
      </w:r>
      <w:r>
        <w:t xml:space="preserve">certain technologies; some in the supply side (like </w:t>
      </w:r>
      <w:r w:rsidR="00EB1DFD" w:rsidRPr="00954CD3">
        <w:t>low enthalpy geothermal</w:t>
      </w:r>
      <w:r w:rsidR="00924F80">
        <w:t xml:space="preserve">, </w:t>
      </w:r>
      <w:r w:rsidR="005B6C73">
        <w:t xml:space="preserve">green hydrogen, </w:t>
      </w:r>
      <w:r w:rsidR="00924F80">
        <w:t>hybrid plants, and battery storage</w:t>
      </w:r>
      <w:r>
        <w:t xml:space="preserve">), but especially for those in the demand side (like </w:t>
      </w:r>
      <w:r w:rsidR="00EB1DFD" w:rsidRPr="00954CD3">
        <w:t>smart grids</w:t>
      </w:r>
      <w:r w:rsidR="00924F80">
        <w:t>, mini-grids, distributed generation, battery storage</w:t>
      </w:r>
      <w:r w:rsidR="005B6C73">
        <w:t>, electromobility</w:t>
      </w:r>
      <w:r w:rsidR="00924F80">
        <w:t>)</w:t>
      </w:r>
      <w:r w:rsidR="00EB1DFD" w:rsidRPr="00954CD3">
        <w:t>.</w:t>
      </w:r>
    </w:p>
    <w:p w14:paraId="4F468CE5" w14:textId="2F90F433" w:rsidR="00EB1DFD" w:rsidRPr="00263EB1" w:rsidRDefault="00EB1DFD" w:rsidP="00336136">
      <w:pPr>
        <w:spacing w:line="240" w:lineRule="auto"/>
        <w:rPr>
          <w:b/>
          <w:bCs/>
          <w:szCs w:val="20"/>
          <w:u w:val="single"/>
        </w:rPr>
      </w:pPr>
      <w:r w:rsidRPr="00263EB1">
        <w:rPr>
          <w:b/>
          <w:bCs/>
          <w:szCs w:val="20"/>
          <w:u w:val="single"/>
        </w:rPr>
        <w:t>Potential actions to solve them:</w:t>
      </w:r>
    </w:p>
    <w:p w14:paraId="333D6B03" w14:textId="77777777" w:rsidR="00D767A7" w:rsidRDefault="00D767A7" w:rsidP="00D767A7">
      <w:pPr>
        <w:pStyle w:val="Prrafodelista"/>
        <w:numPr>
          <w:ilvl w:val="0"/>
          <w:numId w:val="46"/>
        </w:numPr>
      </w:pPr>
      <w:r>
        <w:t>Make alliances with organized stakeholders in the energy demand-side, especially with business associations in the industrial, commercial and construction sectors, who represent an important force for energy policies change.</w:t>
      </w:r>
    </w:p>
    <w:p w14:paraId="563F2376" w14:textId="77777777" w:rsidR="00D767A7" w:rsidRDefault="00D767A7" w:rsidP="00D767A7">
      <w:pPr>
        <w:pStyle w:val="Prrafodelista"/>
        <w:numPr>
          <w:ilvl w:val="0"/>
          <w:numId w:val="46"/>
        </w:numPr>
      </w:pPr>
      <w:r>
        <w:t xml:space="preserve">Support a greater independence of regulatory bodies from central authorities (especially in Honduras and Guatemala), and of energy planning institutions, so that utilities in monopolistic markets (Costa Rica, Honduras, Nicaragua) do not control growth plans. </w:t>
      </w:r>
    </w:p>
    <w:p w14:paraId="4F4049BF" w14:textId="77777777" w:rsidR="00D767A7" w:rsidRDefault="00D767A7" w:rsidP="00D767A7">
      <w:pPr>
        <w:pStyle w:val="Prrafodelista"/>
        <w:numPr>
          <w:ilvl w:val="0"/>
          <w:numId w:val="46"/>
        </w:numPr>
      </w:pPr>
      <w:r>
        <w:t xml:space="preserve">Improving efficiency in the commercial field. The difference between the price paid to generators and the price paid by final consumers is significantly large in many countries. </w:t>
      </w:r>
    </w:p>
    <w:p w14:paraId="705A0318" w14:textId="77777777" w:rsidR="00D767A7" w:rsidRDefault="00D767A7" w:rsidP="00D767A7">
      <w:pPr>
        <w:pStyle w:val="Prrafodelista"/>
        <w:numPr>
          <w:ilvl w:val="0"/>
          <w:numId w:val="46"/>
        </w:numPr>
      </w:pPr>
      <w:r>
        <w:t>Strengthening of independent eco-labeling for energy efficiency appliances and equipment, validated in local EE labs (like the one existing in Costa Rica).</w:t>
      </w:r>
    </w:p>
    <w:p w14:paraId="4835A056" w14:textId="77777777" w:rsidR="00D767A7" w:rsidRDefault="00D767A7" w:rsidP="00D767A7">
      <w:pPr>
        <w:pStyle w:val="Prrafodelista"/>
        <w:numPr>
          <w:ilvl w:val="0"/>
          <w:numId w:val="46"/>
        </w:numPr>
      </w:pPr>
      <w:r>
        <w:t>Enhance regulations with technical specifications that promote quality and durability standards, so that price does not function as the single or most important purchase decision factor. SICA with European cooperation can develop these guidelines.</w:t>
      </w:r>
    </w:p>
    <w:p w14:paraId="4C54DD61" w14:textId="77777777" w:rsidR="00D767A7" w:rsidRDefault="00D767A7" w:rsidP="00D767A7">
      <w:pPr>
        <w:pStyle w:val="Prrafodelista"/>
        <w:numPr>
          <w:ilvl w:val="0"/>
          <w:numId w:val="46"/>
        </w:numPr>
      </w:pPr>
      <w:r>
        <w:t>The case of Guatemala can be a model to study, in terms of liberalization and modernization of local electricity markets, especially through the introduction of the commercialization role (besides the traditional generation, transmission and distribution roles).</w:t>
      </w:r>
    </w:p>
    <w:p w14:paraId="6EBDBFC8" w14:textId="77777777" w:rsidR="00D767A7" w:rsidRDefault="00D767A7" w:rsidP="00D767A7">
      <w:pPr>
        <w:pStyle w:val="Prrafodelista"/>
        <w:numPr>
          <w:ilvl w:val="0"/>
          <w:numId w:val="46"/>
        </w:numPr>
      </w:pPr>
      <w:r>
        <w:t xml:space="preserve">MER should be used not just for energy security purposes (spot market), but as a commercialization channel for long-term transactions (PPAs) between generators, distribution companies and large consumers located in different countries. The planned second circuit could be used for that, leaving the existing first circuit for spot transactions. </w:t>
      </w:r>
    </w:p>
    <w:p w14:paraId="00734AEE" w14:textId="42CA5ABE" w:rsidR="00D767A7" w:rsidRDefault="00D767A7" w:rsidP="00D767A7">
      <w:pPr>
        <w:pStyle w:val="Prrafodelista"/>
        <w:numPr>
          <w:ilvl w:val="0"/>
          <w:numId w:val="46"/>
        </w:numPr>
      </w:pPr>
      <w:r>
        <w:t xml:space="preserve">Honduran utility financial crises should be solved through the implementation of the provisions contemplated in the General Law of the Electricity Industry. Tolerance to commercial losses, </w:t>
      </w:r>
      <w:r w:rsidR="00AC3E92">
        <w:t>misuse,</w:t>
      </w:r>
      <w:r>
        <w:t xml:space="preserve"> and direction of RE subsidies, lack of transparency in tenders, irregular planning and procedures have contributed to the crisis of this institution and the whole electricity sector. </w:t>
      </w:r>
    </w:p>
    <w:p w14:paraId="620E35E5" w14:textId="77777777" w:rsidR="00D767A7" w:rsidRDefault="00D767A7" w:rsidP="00D767A7">
      <w:pPr>
        <w:pStyle w:val="Prrafodelista"/>
        <w:numPr>
          <w:ilvl w:val="0"/>
          <w:numId w:val="46"/>
        </w:numPr>
      </w:pPr>
      <w:r>
        <w:t xml:space="preserve">Incentives for RE generation should be updated, since market conditions have changed and new technologies are gaining momentum in the region, while current incentives correspond to the situation of two decades ago.  </w:t>
      </w:r>
    </w:p>
    <w:p w14:paraId="56367D30" w14:textId="77777777" w:rsidR="00D767A7" w:rsidRDefault="00D767A7" w:rsidP="00D767A7">
      <w:pPr>
        <w:pStyle w:val="Prrafodelista"/>
        <w:numPr>
          <w:ilvl w:val="0"/>
          <w:numId w:val="46"/>
        </w:numPr>
      </w:pPr>
      <w:r>
        <w:t>Liberalization of the monopolistic policies in Costa Rica, Honduras and Nicaragua.</w:t>
      </w:r>
    </w:p>
    <w:p w14:paraId="036D8E6E" w14:textId="77777777" w:rsidR="00D767A7" w:rsidRDefault="00D767A7" w:rsidP="00D767A7">
      <w:pPr>
        <w:pStyle w:val="Prrafodelista"/>
        <w:numPr>
          <w:ilvl w:val="0"/>
          <w:numId w:val="46"/>
        </w:numPr>
      </w:pPr>
      <w:r>
        <w:t>Encourage and allow distributors to install their own RE plants through public-private partnerships (PPP) and sell their energy in national or regional markets.</w:t>
      </w:r>
    </w:p>
    <w:p w14:paraId="1CFDCC55" w14:textId="77777777" w:rsidR="00D767A7" w:rsidRDefault="00D767A7" w:rsidP="00D767A7">
      <w:pPr>
        <w:pStyle w:val="Prrafodelista"/>
        <w:numPr>
          <w:ilvl w:val="0"/>
          <w:numId w:val="46"/>
        </w:numPr>
      </w:pPr>
      <w:r>
        <w:t>Incorporate regulations to promote greening of the construction and real estate sector, including modification to building codes to allow for connections and spaces in roofs for the installation of photovoltaic and thermal solar systems.</w:t>
      </w:r>
    </w:p>
    <w:p w14:paraId="4F949F76" w14:textId="26671B7E" w:rsidR="00D767A7" w:rsidRDefault="00D767A7" w:rsidP="00D767A7">
      <w:pPr>
        <w:pStyle w:val="Prrafodelista"/>
        <w:numPr>
          <w:ilvl w:val="0"/>
          <w:numId w:val="46"/>
        </w:numPr>
      </w:pPr>
      <w:r>
        <w:t>Increase capacity of MER/SIEPAC and of deficient national transmission networks.</w:t>
      </w:r>
    </w:p>
    <w:p w14:paraId="13B64FC1" w14:textId="77777777" w:rsidR="00D767A7" w:rsidRDefault="00D767A7" w:rsidP="00D767A7">
      <w:pPr>
        <w:pStyle w:val="Prrafodelista"/>
        <w:numPr>
          <w:ilvl w:val="0"/>
          <w:numId w:val="46"/>
        </w:numPr>
      </w:pPr>
      <w:r>
        <w:t>Improve resilience of national distribution networks through annular configurations instead of linear.</w:t>
      </w:r>
    </w:p>
    <w:p w14:paraId="541E6971" w14:textId="77777777" w:rsidR="00D767A7" w:rsidRDefault="00D767A7" w:rsidP="00D767A7">
      <w:pPr>
        <w:pStyle w:val="Prrafodelista"/>
        <w:numPr>
          <w:ilvl w:val="0"/>
          <w:numId w:val="46"/>
        </w:numPr>
      </w:pPr>
      <w:r>
        <w:t>Disseminate information on new RE technologies (wind, solar, green hydrogen, distributed generation, electromobility, etc.) and EE technologies in the different economic sectors, both in the academic (technical and university education) and users’ circles (potential users and local financial entities) to get knowledge on the advantages and importance of these technologies.</w:t>
      </w:r>
    </w:p>
    <w:p w14:paraId="2DBFF516" w14:textId="20CDE28F" w:rsidR="00D767A7" w:rsidRDefault="00D767A7" w:rsidP="00D767A7">
      <w:pPr>
        <w:pStyle w:val="Prrafodelista"/>
        <w:numPr>
          <w:ilvl w:val="0"/>
          <w:numId w:val="46"/>
        </w:numPr>
      </w:pPr>
      <w:r>
        <w:t>Get the support of international cooperation agencies to develop pilot projects in new technologies, with high potential to be replicated.</w:t>
      </w:r>
      <w:r w:rsidR="005D58CE">
        <w:t xml:space="preserve"> For</w:t>
      </w:r>
      <w:r w:rsidR="005D58CE" w:rsidRPr="005D58CE">
        <w:t xml:space="preserve"> instance, the potential utilization of the excess of RE capacity in </w:t>
      </w:r>
      <w:r w:rsidR="00CE1705">
        <w:t>some Central American countries (for instance, Costa Rica)</w:t>
      </w:r>
      <w:r w:rsidR="005D58CE" w:rsidRPr="005D58CE">
        <w:t xml:space="preserve"> to manufacture green hydrogen and export it to the EU</w:t>
      </w:r>
      <w:r w:rsidR="00CE1705">
        <w:t>.</w:t>
      </w:r>
    </w:p>
    <w:p w14:paraId="382A0916" w14:textId="4720B392" w:rsidR="00D767A7" w:rsidRDefault="00D767A7" w:rsidP="00D767A7">
      <w:pPr>
        <w:pStyle w:val="Prrafodelista"/>
        <w:numPr>
          <w:ilvl w:val="0"/>
          <w:numId w:val="46"/>
        </w:numPr>
      </w:pPr>
      <w:r>
        <w:t>Create Technical Assistance Funds to support the introduction of innovative RE and EE technologies to Central America, the development of Climate Change Parametric Insurance Products to reduce risk of availability of natural resources like wind, water and sun, and training of final users and financial institutions on these matters.</w:t>
      </w:r>
    </w:p>
    <w:p w14:paraId="3CA79B64" w14:textId="05173F7A" w:rsidR="0041675F" w:rsidRDefault="0041675F" w:rsidP="0041675F">
      <w:pPr>
        <w:pStyle w:val="Prrafodelista"/>
        <w:numPr>
          <w:ilvl w:val="0"/>
          <w:numId w:val="0"/>
        </w:numPr>
        <w:spacing w:after="160"/>
        <w:ind w:left="720"/>
      </w:pPr>
    </w:p>
    <w:p w14:paraId="67EAE0BE" w14:textId="1CC5D281" w:rsidR="00BD3B88" w:rsidRDefault="00BD3B88" w:rsidP="00BD3B88">
      <w:pPr>
        <w:pStyle w:val="Prrafodelista"/>
        <w:numPr>
          <w:ilvl w:val="0"/>
          <w:numId w:val="0"/>
        </w:numPr>
        <w:spacing w:after="160"/>
        <w:rPr>
          <w:b/>
          <w:bCs/>
          <w:u w:val="single"/>
        </w:rPr>
      </w:pPr>
      <w:r>
        <w:rPr>
          <w:b/>
          <w:bCs/>
          <w:u w:val="single"/>
        </w:rPr>
        <w:t>Financial</w:t>
      </w:r>
      <w:r w:rsidRPr="00954CD3">
        <w:rPr>
          <w:b/>
          <w:bCs/>
          <w:u w:val="single"/>
        </w:rPr>
        <w:t xml:space="preserve"> Barriers</w:t>
      </w:r>
    </w:p>
    <w:p w14:paraId="3D14D834" w14:textId="30E8C939" w:rsidR="00BD3B88" w:rsidRDefault="00BD3B88" w:rsidP="00BD3B88">
      <w:pPr>
        <w:spacing w:line="240" w:lineRule="auto"/>
      </w:pPr>
      <w:r>
        <w:t xml:space="preserve">The previous section made a series of recommendations on how regulatory and technical barriers can be mitigated. In the financial field there are also barriers, but they are especially concentrated in relatively small projects, which require investments of less than USD 100,000, typically those corresponding to small-scale distributed generation and energy efficiency projects. As seen later in sections 5.2 and 5.3, renewable energy generation projects do not normally face financial difficulties, as long as they have a long-term PPA, their rate is indexed to the US dollar, and </w:t>
      </w:r>
      <w:r w:rsidR="004A449E">
        <w:t>use</w:t>
      </w:r>
      <w:r>
        <w:t xml:space="preserve"> proven ER technologies. When it comes to new ER technologies, financial institutions and investors </w:t>
      </w:r>
      <w:r w:rsidR="004A449E">
        <w:t>tend</w:t>
      </w:r>
      <w:r>
        <w:t xml:space="preserve"> to doubt, so in those cases pilot projects and technical and financial risk mitigation schemes are welcome. Among these, </w:t>
      </w:r>
      <w:r w:rsidR="004A449E">
        <w:t xml:space="preserve">extended </w:t>
      </w:r>
      <w:r>
        <w:t xml:space="preserve">guarantees from recognized manufacturers, </w:t>
      </w:r>
      <w:r w:rsidR="004A449E">
        <w:t xml:space="preserve">accompanying technical assistance and training, </w:t>
      </w:r>
      <w:r>
        <w:t>experienced EPC</w:t>
      </w:r>
      <w:r w:rsidR="004A449E">
        <w:rPr>
          <w:rStyle w:val="Refdenotaalpie"/>
        </w:rPr>
        <w:footnoteReference w:id="12"/>
      </w:r>
      <w:r>
        <w:t xml:space="preserve"> service providers, trained operators, mezzanine investors, guarantee funds, adequate insurance, etc.</w:t>
      </w:r>
    </w:p>
    <w:p w14:paraId="4B57CBEE" w14:textId="1D31DDCC" w:rsidR="008F09B0" w:rsidRPr="00472B84" w:rsidRDefault="008F09B0" w:rsidP="00336136">
      <w:pPr>
        <w:pStyle w:val="Ttulo2"/>
        <w:spacing w:before="0" w:line="240" w:lineRule="auto"/>
      </w:pPr>
      <w:bookmarkStart w:id="23" w:name="_Toc90453967"/>
      <w:r w:rsidRPr="00472B84">
        <w:t>Recommendations to achieve sustainable development of RE</w:t>
      </w:r>
      <w:bookmarkEnd w:id="23"/>
    </w:p>
    <w:p w14:paraId="3C4DC68F" w14:textId="5A302C10" w:rsidR="00BD3B88" w:rsidRDefault="00BD3B88" w:rsidP="00BD3B88">
      <w:pPr>
        <w:spacing w:line="240" w:lineRule="auto"/>
      </w:pPr>
      <w:r>
        <w:t>The environmental and social considerations related to a greater deployment of the RE technologies currently existing in the region, and of the new ones that may be introduced, are the following:</w:t>
      </w:r>
    </w:p>
    <w:p w14:paraId="28BCB2BB" w14:textId="5AE8F2E7" w:rsidR="001C216E" w:rsidRDefault="001C216E" w:rsidP="009D5AD7">
      <w:pPr>
        <w:pStyle w:val="Prrafodelista"/>
        <w:numPr>
          <w:ilvl w:val="0"/>
          <w:numId w:val="33"/>
        </w:numPr>
        <w:spacing w:after="160"/>
      </w:pPr>
      <w:r>
        <w:t xml:space="preserve">Medium and large-scale hydroelectricity </w:t>
      </w:r>
      <w:r w:rsidR="00576C86">
        <w:t>suffer</w:t>
      </w:r>
      <w:r>
        <w:t xml:space="preserve"> in Central America, as in many other parts of the world, a social rejection due to its environmental and social impacts. It has generated great controversy in Guatemala and Honduras, where environmental activists who have led the opposition to this type of project have even been assassinated. In Costa Rica, one of the most ambitious projects, PH Diqu</w:t>
      </w:r>
      <w:r w:rsidR="00576C86">
        <w:t>i</w:t>
      </w:r>
      <w:r>
        <w:t>s, was abandoned precisely because of the opposition of indigenous communities. In Panama, the PH Barro Blanco faced a similar situation, although it was finally built. In Guatemala there are multiple cases. According to a source consulted, this country is one of the most dangerous in the world for human rights defenders who oppose business activity, and one of the sectors with the highest number of documented attacks is hydroelectric with 7% of cases.</w:t>
      </w:r>
      <w:r w:rsidR="00576C86" w:rsidRPr="009D5AD7">
        <w:t xml:space="preserve"> </w:t>
      </w:r>
      <w:r w:rsidR="00576C86" w:rsidRPr="009D5AD7">
        <w:footnoteReference w:id="13"/>
      </w:r>
    </w:p>
    <w:p w14:paraId="206118CA" w14:textId="0691C8CA" w:rsidR="00BD3B88" w:rsidRDefault="001C216E" w:rsidP="009D5AD7">
      <w:pPr>
        <w:pStyle w:val="Prrafodelista"/>
        <w:numPr>
          <w:ilvl w:val="0"/>
          <w:numId w:val="33"/>
        </w:numPr>
        <w:spacing w:after="160"/>
      </w:pPr>
      <w:r>
        <w:t xml:space="preserve">Small-scale hydroelectricity without a reservoir (run-of-the-river) is one of those with great potential in the region, with a low level of environmental and social impact. They have had great recent development in Honduras. However, in other countries they receive little attention and are not even </w:t>
      </w:r>
      <w:r w:rsidR="003C4FBB">
        <w:t>considered</w:t>
      </w:r>
      <w:r>
        <w:t xml:space="preserve"> in expansion plans. They are highly vulnerable to climate change, so it is recommended to support hybrid solar-hydro projects, especially located at the end of distribution networks where energy is of poor quality.</w:t>
      </w:r>
    </w:p>
    <w:p w14:paraId="7124270E" w14:textId="68D5DF89" w:rsidR="003C4FBB" w:rsidRDefault="003C4FBB" w:rsidP="009D5AD7">
      <w:pPr>
        <w:pStyle w:val="Prrafodelista"/>
        <w:numPr>
          <w:ilvl w:val="0"/>
          <w:numId w:val="33"/>
        </w:numPr>
        <w:spacing w:after="160"/>
      </w:pPr>
      <w:r>
        <w:t>High enthalpy geothermal is very attractive as a firm power source. However, it has been overexploited in some places in El Salvador, and presents great limitations for its expansion in Costa Rica because most of the resource is located within protected areas. Other Central American countries may have similar challenges, although they do not receive as much attention as in Costa Rica. Further development of high enthalpy geothermal energy must be carried out in accordance with strict environmental regulations that minimize its impact.</w:t>
      </w:r>
    </w:p>
    <w:p w14:paraId="4AFBE5D5" w14:textId="155F8C51" w:rsidR="00BD3B88" w:rsidRDefault="003C4FBB" w:rsidP="009D5AD7">
      <w:pPr>
        <w:pStyle w:val="Prrafodelista"/>
        <w:numPr>
          <w:ilvl w:val="0"/>
          <w:numId w:val="33"/>
        </w:numPr>
        <w:spacing w:after="160"/>
      </w:pPr>
      <w:r>
        <w:t>On the other hand, low enthalpy geothermal energy is a resource that has practically not been used in the region, and it presents much less environmental challenges because it is normally carried out in places where agricultural and industrial activity already exists, not in protected areas.</w:t>
      </w:r>
    </w:p>
    <w:p w14:paraId="0DC6BD08" w14:textId="0FF13748" w:rsidR="0010696A" w:rsidRDefault="0010696A" w:rsidP="009D5AD7">
      <w:pPr>
        <w:pStyle w:val="Prrafodelista"/>
        <w:numPr>
          <w:ilvl w:val="0"/>
          <w:numId w:val="33"/>
        </w:numPr>
        <w:spacing w:after="160"/>
      </w:pPr>
      <w:r>
        <w:t xml:space="preserve">Biomass has been used extensively by sugar mills in Central America to produce heat and electricity, which is largely injected into national electricity grids. Guatemala and El Salvador stand out, although it is also carried out in the other countries to a greater or lesser extent. This source of biomass is highly sustainable since it takes advantage of an agricultural residue. However, the availability of more sugarcane bagasse is practically nil, and the only way to increase the capacity of this technology is by incorporating wastes from other sources, such as the forestry sector (especially in Honduras) and other agricultural wastes from crops such as coffee, banana, pineapple, oil palm, etc. From an environmental point of view, the riskiest of these is forestry, because it must ensure the sustainability and legality of the wood source. In other crops, care must be taken that emissions from waste collection and transport do not exceed avoided emissions from electricity and heat generation, especially in countries where the electricity matrix is </w:t>
      </w:r>
      <w:r w:rsidRPr="009D5AD7">
        <w:rPr>
          <w:rFonts w:ascii="Arial" w:hAnsi="Arial" w:cs="Arial"/>
        </w:rPr>
        <w:t>​​</w:t>
      </w:r>
      <w:r>
        <w:t>already highly renewable.</w:t>
      </w:r>
    </w:p>
    <w:p w14:paraId="672C4F31" w14:textId="3542DE98" w:rsidR="003C4FBB" w:rsidRDefault="0010696A" w:rsidP="009D5AD7">
      <w:pPr>
        <w:pStyle w:val="Prrafodelista"/>
        <w:numPr>
          <w:ilvl w:val="0"/>
          <w:numId w:val="33"/>
        </w:numPr>
        <w:spacing w:after="160"/>
      </w:pPr>
      <w:r>
        <w:t>The use of high-capacity battery banks, both to provide generation stability and to support distributed generation projects and for electromobility, should be studied considering the entire life cycle of the product. In Central America, technical knowledge and design of solutions for recycling and final disposal of battery waste is needed.</w:t>
      </w:r>
    </w:p>
    <w:p w14:paraId="17CB27DC" w14:textId="4D634E1A" w:rsidR="0010696A" w:rsidRDefault="0010696A" w:rsidP="009D5AD7">
      <w:pPr>
        <w:pStyle w:val="Prrafodelista"/>
        <w:numPr>
          <w:ilvl w:val="0"/>
          <w:numId w:val="33"/>
        </w:numPr>
        <w:spacing w:after="160"/>
      </w:pPr>
      <w:r>
        <w:t>Wind plants require more environmental impact studies and mitigation measures, mainly due to the impact on soil and biodiversity, and on birds and bats (collision, displacements produced by avoidance, barrier effect and loss of habitat). Central America has a great variety of these species and is a migration zone between North and South America. For the UK it is estimated that on average 33 birds / turbine / year die. In Navarra (Spain), figures of 3.6 to 64.3 dead birds / turbine / year were obtained. In the USA, the total mortality from this cause is estimated at half a million individuals per year.</w:t>
      </w:r>
      <w:r w:rsidR="006F1BC3" w:rsidRPr="009D5AD7">
        <w:t xml:space="preserve"> </w:t>
      </w:r>
      <w:r w:rsidR="006F1BC3" w:rsidRPr="009D5AD7">
        <w:footnoteReference w:id="14"/>
      </w:r>
      <w:r>
        <w:t xml:space="preserve"> Some mitigation measures are: Do not install turbines on migratory routes (flyways) of birds and bats, especially in the "bottlenecks" where a large number of migrants are concentrated due to certain geographical accidents, and do not block the routes of flight between nesting and feeding areas. Do not install turbines near forests, leaving a buffer zone of at least 200m. Group the turbines as much as possible to avoid the barrier effect and leave free corridors between groups of turbines. Implement procedures and technology to control the mortality of the affected species and their routes. Regarding social impact, noise and flickering considerations must be incorporated </w:t>
      </w:r>
      <w:r w:rsidR="006F1BC3">
        <w:t xml:space="preserve">in project design, </w:t>
      </w:r>
      <w:r>
        <w:t>so as not to affect neighboring communities.</w:t>
      </w:r>
    </w:p>
    <w:p w14:paraId="25ECB30F" w14:textId="3ECEB3CB" w:rsidR="005A58EA" w:rsidRDefault="0010696A" w:rsidP="009D5AD7">
      <w:pPr>
        <w:pStyle w:val="Prrafodelista"/>
        <w:numPr>
          <w:ilvl w:val="0"/>
          <w:numId w:val="33"/>
        </w:numPr>
        <w:spacing w:after="160"/>
      </w:pPr>
      <w:r>
        <w:t xml:space="preserve">In the case of solar technology, its environmental impacts are relatively small, although they can be significant when considering the life cycle of the panels, other </w:t>
      </w:r>
      <w:r w:rsidR="001865FC">
        <w:t>c</w:t>
      </w:r>
      <w:r>
        <w:t>omponents, and batteries (if the latter are used).</w:t>
      </w:r>
    </w:p>
    <w:p w14:paraId="72A45802" w14:textId="44BD83B4" w:rsidR="000D0E69" w:rsidRPr="00472B84" w:rsidRDefault="000D0E69" w:rsidP="000D0E69">
      <w:pPr>
        <w:pStyle w:val="Ttulo1"/>
        <w:spacing w:before="0" w:after="160" w:line="240" w:lineRule="auto"/>
      </w:pPr>
      <w:bookmarkStart w:id="24" w:name="_Toc90453968"/>
      <w:r>
        <w:t>Market Analysis and Opportunities</w:t>
      </w:r>
      <w:bookmarkEnd w:id="24"/>
    </w:p>
    <w:p w14:paraId="09BA0ED0" w14:textId="4BB3DD2E" w:rsidR="008F09B0" w:rsidRDefault="008F09B0" w:rsidP="00336136">
      <w:pPr>
        <w:pStyle w:val="Ttulo2"/>
        <w:spacing w:before="0" w:line="240" w:lineRule="auto"/>
      </w:pPr>
      <w:bookmarkStart w:id="25" w:name="_Toc90453969"/>
      <w:r w:rsidRPr="00472B84">
        <w:t>Decarbonization and RE commitments and targets per country</w:t>
      </w:r>
      <w:bookmarkEnd w:id="25"/>
    </w:p>
    <w:p w14:paraId="4E391363" w14:textId="668AABF2" w:rsidR="00B760DF" w:rsidRPr="00B760DF" w:rsidRDefault="00B760DF" w:rsidP="00B760DF">
      <w:r>
        <w:t xml:space="preserve">There are several commitments </w:t>
      </w:r>
      <w:r w:rsidR="00D47A90">
        <w:t xml:space="preserve">regarding decarbonization and climate change mitigation strategies in the region. Most of them include targets regarding the diversification of energy sources and the enhancement of renewable energy. Some of them are briefly described below: </w:t>
      </w:r>
    </w:p>
    <w:p w14:paraId="07588AFE" w14:textId="67E64F2E" w:rsidR="0024685F" w:rsidRPr="00472B84" w:rsidRDefault="00D47A90" w:rsidP="00AE3214">
      <w:pPr>
        <w:spacing w:line="240" w:lineRule="auto"/>
      </w:pPr>
      <w:r>
        <w:t xml:space="preserve">The </w:t>
      </w:r>
      <w:r w:rsidR="00983966">
        <w:t>“</w:t>
      </w:r>
      <w:r w:rsidR="0024685F" w:rsidRPr="00983966">
        <w:t>Central American Sustainable Energy Strategy 2020</w:t>
      </w:r>
      <w:r w:rsidR="00983966">
        <w:t>”</w:t>
      </w:r>
      <w:r w:rsidR="0024685F" w:rsidRPr="00472B84">
        <w:t xml:space="preserve"> was published in 2007. The main objective was “to ensure the energy supply of Central America, in quality, quantity, and diversity of sources, necessary to guarantee sustainable development</w:t>
      </w:r>
      <w:r w:rsidR="007B0FAD">
        <w:t xml:space="preserve"> whilst</w:t>
      </w:r>
      <w:r w:rsidR="0024685F" w:rsidRPr="00472B84">
        <w:t>, taking into account social equity, economic growth, governance and compatibility with the environment, under international environmental commitments” (ECLAC, 2007, p. 98).  This strategy was updated in 2020</w:t>
      </w:r>
      <w:r w:rsidR="00AE3214">
        <w:t xml:space="preserve">, when the </w:t>
      </w:r>
      <w:r w:rsidR="00983966">
        <w:t>“</w:t>
      </w:r>
      <w:r w:rsidR="0024685F" w:rsidRPr="00983966">
        <w:t>Central American Sustainable Energy Strategy</w:t>
      </w:r>
      <w:r w:rsidR="00797344">
        <w:t xml:space="preserve"> to</w:t>
      </w:r>
      <w:r w:rsidR="0024685F" w:rsidRPr="00983966">
        <w:t xml:space="preserve"> 2030</w:t>
      </w:r>
      <w:r w:rsidR="00983966">
        <w:t>”</w:t>
      </w:r>
      <w:r w:rsidR="0024685F" w:rsidRPr="00472B84">
        <w:t xml:space="preserve"> was </w:t>
      </w:r>
      <w:r w:rsidR="00983966">
        <w:t>p</w:t>
      </w:r>
      <w:r w:rsidR="0024685F" w:rsidRPr="00472B84">
        <w:t xml:space="preserve">ublished. The strategy defines a set of regional actions to guide the sustainable development of the countries </w:t>
      </w:r>
      <w:r w:rsidR="00797344">
        <w:t>in</w:t>
      </w:r>
      <w:r w:rsidR="0024685F" w:rsidRPr="00472B84">
        <w:t xml:space="preserve"> the region, complying with the commitments of international and regional organizations, especially those related to the energy sector in the 2030 Agenda for Sustainable Development, the Paris Agreement on </w:t>
      </w:r>
      <w:r w:rsidR="00797344">
        <w:t>C</w:t>
      </w:r>
      <w:r w:rsidR="0024685F" w:rsidRPr="00472B84">
        <w:t xml:space="preserve">limate </w:t>
      </w:r>
      <w:r w:rsidR="00797344">
        <w:t>C</w:t>
      </w:r>
      <w:r w:rsidR="0024685F" w:rsidRPr="00472B84">
        <w:t>hange</w:t>
      </w:r>
      <w:r w:rsidR="00797344">
        <w:t>,</w:t>
      </w:r>
      <w:r w:rsidR="0024685F" w:rsidRPr="00472B84">
        <w:t xml:space="preserve"> and the Alliance for Sustainable Development (ALIDES). </w:t>
      </w:r>
      <w:r w:rsidR="007B0FAD">
        <w:t>Similarly</w:t>
      </w:r>
      <w:r w:rsidR="0024685F" w:rsidRPr="00472B84">
        <w:t xml:space="preserve">, in its preparation, the provisions of </w:t>
      </w:r>
      <w:r w:rsidR="00797344">
        <w:t xml:space="preserve">existing </w:t>
      </w:r>
      <w:r w:rsidR="0024685F" w:rsidRPr="00472B84">
        <w:t>economic and social integration treaties were considered, in a voluntary, gradual, complementary, and progressive manner</w:t>
      </w:r>
      <w:r w:rsidR="007B0FAD">
        <w:t xml:space="preserve"> through</w:t>
      </w:r>
      <w:r w:rsidR="0024685F" w:rsidRPr="00472B84">
        <w:t xml:space="preserve"> the Economic </w:t>
      </w:r>
      <w:r w:rsidR="0058140A">
        <w:t>Integration</w:t>
      </w:r>
      <w:r w:rsidR="0024685F" w:rsidRPr="00472B84">
        <w:t xml:space="preserve"> and the coordination, harmonization, and convergence of </w:t>
      </w:r>
      <w:r w:rsidR="00797344" w:rsidRPr="00472B84">
        <w:t xml:space="preserve">social </w:t>
      </w:r>
      <w:r w:rsidR="0024685F" w:rsidRPr="00472B84">
        <w:t xml:space="preserve">policies. </w:t>
      </w:r>
      <w:r w:rsidR="007B0FAD">
        <w:t xml:space="preserve">Moreover, </w:t>
      </w:r>
      <w:r w:rsidR="0024685F" w:rsidRPr="00472B84">
        <w:t xml:space="preserve">at the subsector level, the energy integration commitments established in the </w:t>
      </w:r>
      <w:r w:rsidR="00797344">
        <w:t>MER</w:t>
      </w:r>
      <w:r w:rsidR="0024685F" w:rsidRPr="00472B84">
        <w:t xml:space="preserve"> Framework Treaty were considered.</w:t>
      </w:r>
      <w:r w:rsidR="00067372">
        <w:t xml:space="preserve"> </w:t>
      </w:r>
    </w:p>
    <w:p w14:paraId="6AD8F0C3" w14:textId="3E517DA8" w:rsidR="0024685F" w:rsidRPr="00067372" w:rsidRDefault="00D47A90" w:rsidP="00336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
        <w:t>For better understanding, the following table shows</w:t>
      </w:r>
      <w:r w:rsidR="0024685F" w:rsidRPr="00067372">
        <w:t xml:space="preserve"> a comparison among the </w:t>
      </w:r>
      <w:r>
        <w:t xml:space="preserve">goals of the mentioned </w:t>
      </w:r>
      <w:r w:rsidR="0024685F" w:rsidRPr="00067372">
        <w:t>strategies:</w:t>
      </w:r>
      <w:r w:rsidR="00641114" w:rsidRPr="00067372">
        <w:t xml:space="preserve"> </w:t>
      </w:r>
    </w:p>
    <w:p w14:paraId="7AE9A48B" w14:textId="48A9DFE4" w:rsidR="00067372" w:rsidRDefault="00067372" w:rsidP="00336136">
      <w:pPr>
        <w:pStyle w:val="Descripcin"/>
        <w:keepNext/>
        <w:spacing w:after="160"/>
        <w:jc w:val="center"/>
      </w:pPr>
      <w:r w:rsidRPr="00067372">
        <w:rPr>
          <w:b/>
          <w:bCs/>
        </w:rPr>
        <w:t xml:space="preserve">Table </w:t>
      </w:r>
      <w:r w:rsidRPr="00067372">
        <w:rPr>
          <w:b/>
          <w:bCs/>
        </w:rPr>
        <w:fldChar w:fldCharType="begin"/>
      </w:r>
      <w:r w:rsidRPr="00067372">
        <w:rPr>
          <w:b/>
          <w:bCs/>
        </w:rPr>
        <w:instrText xml:space="preserve"> SEQ Table \* ARABIC </w:instrText>
      </w:r>
      <w:r w:rsidRPr="00067372">
        <w:rPr>
          <w:b/>
          <w:bCs/>
        </w:rPr>
        <w:fldChar w:fldCharType="separate"/>
      </w:r>
      <w:r w:rsidR="00D054D0">
        <w:rPr>
          <w:b/>
          <w:bCs/>
          <w:noProof/>
        </w:rPr>
        <w:t>13</w:t>
      </w:r>
      <w:r w:rsidRPr="00067372">
        <w:rPr>
          <w:b/>
          <w:bCs/>
        </w:rPr>
        <w:fldChar w:fldCharType="end"/>
      </w:r>
      <w:r w:rsidRPr="00067372">
        <w:rPr>
          <w:b/>
          <w:bCs/>
        </w:rPr>
        <w:t>.</w:t>
      </w:r>
      <w:r>
        <w:t xml:space="preserve"> Comparison among </w:t>
      </w:r>
      <w:r w:rsidR="00A016FD">
        <w:t>sustainable energy</w:t>
      </w:r>
      <w:r>
        <w:t xml:space="preserve"> strategies</w:t>
      </w:r>
    </w:p>
    <w:tbl>
      <w:tblPr>
        <w:tblStyle w:val="Tablaconcuadrcula1"/>
        <w:tblpPr w:leftFromText="141" w:rightFromText="141" w:vertAnchor="text" w:tblpY="1"/>
        <w:tblOverlap w:val="never"/>
        <w:tblW w:w="5000" w:type="pct"/>
        <w:tblLook w:val="04A0" w:firstRow="1" w:lastRow="0" w:firstColumn="1" w:lastColumn="0" w:noHBand="0" w:noVBand="1"/>
      </w:tblPr>
      <w:tblGrid>
        <w:gridCol w:w="4264"/>
        <w:gridCol w:w="4234"/>
      </w:tblGrid>
      <w:tr w:rsidR="0024685F" w:rsidRPr="00067372" w14:paraId="747A3594" w14:textId="77777777" w:rsidTr="00D47A90">
        <w:tc>
          <w:tcPr>
            <w:tcW w:w="2509" w:type="pct"/>
            <w:shd w:val="clear" w:color="auto" w:fill="4472C4" w:themeFill="accent1"/>
          </w:tcPr>
          <w:p w14:paraId="586E7EA0" w14:textId="62ED2F69" w:rsidR="0024685F" w:rsidRPr="00067372" w:rsidRDefault="0024685F" w:rsidP="00D47A9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jc w:val="center"/>
              <w:rPr>
                <w:color w:val="FFFFFF" w:themeColor="background1"/>
                <w:sz w:val="18"/>
                <w:szCs w:val="18"/>
              </w:rPr>
            </w:pPr>
            <w:r w:rsidRPr="00067372">
              <w:rPr>
                <w:b/>
                <w:bCs/>
                <w:color w:val="FFFFFF" w:themeColor="background1"/>
                <w:sz w:val="18"/>
                <w:szCs w:val="18"/>
              </w:rPr>
              <w:t>Central American Sustainable Energy Strategy 2020</w:t>
            </w:r>
          </w:p>
        </w:tc>
        <w:tc>
          <w:tcPr>
            <w:tcW w:w="2491" w:type="pct"/>
            <w:shd w:val="clear" w:color="auto" w:fill="4472C4" w:themeFill="accent1"/>
          </w:tcPr>
          <w:p w14:paraId="21FCA608" w14:textId="77777777" w:rsidR="0024685F" w:rsidRPr="00067372" w:rsidRDefault="0024685F" w:rsidP="00D47A9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jc w:val="center"/>
              <w:rPr>
                <w:color w:val="FFFFFF" w:themeColor="background1"/>
                <w:sz w:val="18"/>
                <w:szCs w:val="18"/>
              </w:rPr>
            </w:pPr>
            <w:r w:rsidRPr="00067372">
              <w:rPr>
                <w:b/>
                <w:bCs/>
                <w:color w:val="FFFFFF" w:themeColor="background1"/>
                <w:sz w:val="18"/>
                <w:szCs w:val="18"/>
              </w:rPr>
              <w:t>Central American Sustainable Energy Strategy 2030</w:t>
            </w:r>
          </w:p>
        </w:tc>
      </w:tr>
      <w:tr w:rsidR="0024685F" w:rsidRPr="00067372" w14:paraId="5F55E242" w14:textId="77777777" w:rsidTr="00D47A90">
        <w:tc>
          <w:tcPr>
            <w:tcW w:w="2509" w:type="pct"/>
          </w:tcPr>
          <w:p w14:paraId="0F666335" w14:textId="77777777" w:rsidR="0024685F" w:rsidRPr="00067372" w:rsidRDefault="0024685F" w:rsidP="00D47A90">
            <w:pPr>
              <w:keepNext/>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ind w:left="357" w:hanging="357"/>
              <w:jc w:val="left"/>
              <w:rPr>
                <w:sz w:val="18"/>
                <w:szCs w:val="18"/>
              </w:rPr>
            </w:pPr>
            <w:r w:rsidRPr="00067372">
              <w:rPr>
                <w:sz w:val="18"/>
                <w:szCs w:val="18"/>
              </w:rPr>
              <w:t>Reduce the growth rate of the demand for petroleum derivatives (by sectors of consumption and generation of electricity).</w:t>
            </w:r>
          </w:p>
          <w:p w14:paraId="65F8A638" w14:textId="77777777" w:rsidR="0024685F" w:rsidRPr="00067372" w:rsidRDefault="0024685F" w:rsidP="00D47A90">
            <w:pPr>
              <w:keepNext/>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ind w:left="357" w:hanging="357"/>
              <w:jc w:val="left"/>
              <w:rPr>
                <w:sz w:val="18"/>
                <w:szCs w:val="18"/>
              </w:rPr>
            </w:pPr>
            <w:r w:rsidRPr="00067372">
              <w:rPr>
                <w:sz w:val="18"/>
                <w:szCs w:val="18"/>
              </w:rPr>
              <w:t>Reduce energy dependence on imported sources, increasing the supply of renewable energy sources.</w:t>
            </w:r>
          </w:p>
          <w:p w14:paraId="0F0D9481" w14:textId="673769AB" w:rsidR="0024685F" w:rsidRPr="00067372" w:rsidRDefault="0024685F" w:rsidP="00D47A90">
            <w:pPr>
              <w:keepNext/>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ind w:left="357" w:hanging="357"/>
              <w:jc w:val="left"/>
              <w:rPr>
                <w:sz w:val="18"/>
                <w:szCs w:val="18"/>
              </w:rPr>
            </w:pPr>
            <w:r w:rsidRPr="00067372">
              <w:rPr>
                <w:sz w:val="18"/>
                <w:szCs w:val="18"/>
              </w:rPr>
              <w:t xml:space="preserve">Improve efficiency and promote rational use of energy, both from the demand and supply </w:t>
            </w:r>
            <w:r w:rsidR="00143D06">
              <w:rPr>
                <w:sz w:val="18"/>
                <w:szCs w:val="18"/>
              </w:rPr>
              <w:t>sides.</w:t>
            </w:r>
          </w:p>
          <w:p w14:paraId="1706CA65" w14:textId="53DDC420" w:rsidR="0024685F" w:rsidRPr="00067372" w:rsidRDefault="0024685F" w:rsidP="00D47A90">
            <w:pPr>
              <w:keepNext/>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ind w:left="357" w:hanging="357"/>
              <w:jc w:val="left"/>
              <w:rPr>
                <w:sz w:val="18"/>
                <w:szCs w:val="18"/>
              </w:rPr>
            </w:pPr>
            <w:r w:rsidRPr="00067372">
              <w:rPr>
                <w:sz w:val="18"/>
                <w:szCs w:val="18"/>
              </w:rPr>
              <w:t>Incorporate new technologies and less polluting energy sources</w:t>
            </w:r>
            <w:r w:rsidR="00143D06">
              <w:rPr>
                <w:sz w:val="18"/>
                <w:szCs w:val="18"/>
              </w:rPr>
              <w:t>.</w:t>
            </w:r>
          </w:p>
          <w:p w14:paraId="7A8F3AA3" w14:textId="77777777" w:rsidR="0024685F" w:rsidRPr="00067372" w:rsidRDefault="0024685F" w:rsidP="00D47A90">
            <w:pPr>
              <w:keepNext/>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ind w:left="357" w:hanging="357"/>
              <w:jc w:val="left"/>
              <w:rPr>
                <w:sz w:val="18"/>
                <w:szCs w:val="18"/>
              </w:rPr>
            </w:pPr>
            <w:r w:rsidRPr="00067372">
              <w:rPr>
                <w:sz w:val="18"/>
                <w:szCs w:val="18"/>
              </w:rPr>
              <w:t>Increase access to energy services for low-income and isolated populations.</w:t>
            </w:r>
          </w:p>
          <w:p w14:paraId="63C97706" w14:textId="77777777" w:rsidR="0024685F" w:rsidRPr="00067372" w:rsidRDefault="0024685F" w:rsidP="00D47A90">
            <w:pPr>
              <w:keepNext/>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ind w:left="357" w:hanging="357"/>
              <w:jc w:val="left"/>
              <w:rPr>
                <w:sz w:val="18"/>
                <w:szCs w:val="18"/>
              </w:rPr>
            </w:pPr>
            <w:r w:rsidRPr="00067372">
              <w:rPr>
                <w:sz w:val="18"/>
                <w:szCs w:val="18"/>
              </w:rPr>
              <w:t>Mitigate the effects of energy use and production on the environment.</w:t>
            </w:r>
          </w:p>
          <w:p w14:paraId="42E80C1A" w14:textId="77777777" w:rsidR="0024685F" w:rsidRPr="00067372" w:rsidRDefault="0024685F" w:rsidP="00D47A90">
            <w:pPr>
              <w:keepNext/>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ind w:left="357" w:hanging="357"/>
              <w:jc w:val="left"/>
              <w:rPr>
                <w:sz w:val="18"/>
                <w:szCs w:val="18"/>
              </w:rPr>
            </w:pPr>
            <w:r w:rsidRPr="00067372">
              <w:rPr>
                <w:sz w:val="18"/>
                <w:szCs w:val="18"/>
              </w:rPr>
              <w:t>Develop energy projects with natural resources compatible with the environment and with human settlements.</w:t>
            </w:r>
          </w:p>
          <w:p w14:paraId="5B252300" w14:textId="77777777" w:rsidR="0024685F" w:rsidRPr="00067372" w:rsidRDefault="0024685F" w:rsidP="00D47A9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rPr>
                <w:sz w:val="18"/>
                <w:szCs w:val="18"/>
              </w:rPr>
            </w:pPr>
          </w:p>
        </w:tc>
        <w:tc>
          <w:tcPr>
            <w:tcW w:w="2491" w:type="pct"/>
          </w:tcPr>
          <w:p w14:paraId="3ABCA3DF" w14:textId="17598086" w:rsidR="0024685F" w:rsidRPr="00172ED0" w:rsidRDefault="0024685F" w:rsidP="00D47A90">
            <w:pPr>
              <w:pStyle w:val="Prrafodelista"/>
              <w:keepNext/>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jc w:val="left"/>
              <w:rPr>
                <w:sz w:val="18"/>
                <w:szCs w:val="18"/>
              </w:rPr>
            </w:pPr>
            <w:r w:rsidRPr="00172ED0">
              <w:rPr>
                <w:sz w:val="18"/>
                <w:szCs w:val="18"/>
              </w:rPr>
              <w:t>Universalize affordable, reliable, and modern energy services.</w:t>
            </w:r>
          </w:p>
          <w:p w14:paraId="71E778ED" w14:textId="6E937634" w:rsidR="0024685F" w:rsidRPr="00172ED0" w:rsidRDefault="0024685F" w:rsidP="00D47A90">
            <w:pPr>
              <w:pStyle w:val="Prrafodelista"/>
              <w:keepNext/>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jc w:val="left"/>
              <w:rPr>
                <w:sz w:val="18"/>
                <w:szCs w:val="18"/>
              </w:rPr>
            </w:pPr>
            <w:r w:rsidRPr="00172ED0">
              <w:rPr>
                <w:sz w:val="18"/>
                <w:szCs w:val="18"/>
              </w:rPr>
              <w:t>Significantly increase the share of renewable energy in the whole energy sources.</w:t>
            </w:r>
          </w:p>
          <w:p w14:paraId="07F09B61" w14:textId="268C2273" w:rsidR="0024685F" w:rsidRPr="00067372" w:rsidRDefault="0024685F" w:rsidP="00143D06">
            <w:pPr>
              <w:pStyle w:val="Prrafodelista"/>
              <w:keepNext/>
              <w:numPr>
                <w:ilvl w:val="0"/>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ind w:left="360"/>
              <w:jc w:val="left"/>
              <w:rPr>
                <w:sz w:val="18"/>
                <w:szCs w:val="18"/>
              </w:rPr>
            </w:pPr>
            <w:r w:rsidRPr="00143D06">
              <w:rPr>
                <w:sz w:val="18"/>
                <w:szCs w:val="18"/>
              </w:rPr>
              <w:t>Include the rational and efficient use of energy in energy plans and increase</w:t>
            </w:r>
            <w:r w:rsidR="00143D06" w:rsidRPr="00143D06">
              <w:rPr>
                <w:sz w:val="18"/>
                <w:szCs w:val="18"/>
              </w:rPr>
              <w:t xml:space="preserve"> </w:t>
            </w:r>
            <w:r w:rsidR="00143D06">
              <w:rPr>
                <w:sz w:val="18"/>
                <w:szCs w:val="18"/>
              </w:rPr>
              <w:t>t</w:t>
            </w:r>
            <w:r w:rsidRPr="00067372">
              <w:rPr>
                <w:sz w:val="18"/>
                <w:szCs w:val="18"/>
              </w:rPr>
              <w:t>he energy efficiency improvement rate.</w:t>
            </w:r>
          </w:p>
          <w:p w14:paraId="052ABC2E" w14:textId="1269DDB7" w:rsidR="0024685F" w:rsidRPr="00143D06" w:rsidRDefault="0024685F" w:rsidP="00E77B8A">
            <w:pPr>
              <w:pStyle w:val="Prrafodelista"/>
              <w:keepNext/>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ind w:left="357" w:hanging="357"/>
              <w:jc w:val="left"/>
              <w:rPr>
                <w:sz w:val="18"/>
                <w:szCs w:val="18"/>
              </w:rPr>
            </w:pPr>
            <w:r w:rsidRPr="00143D06">
              <w:rPr>
                <w:sz w:val="18"/>
                <w:szCs w:val="18"/>
              </w:rPr>
              <w:t>Diversify the energy matrix by promoting:</w:t>
            </w:r>
            <w:r w:rsidR="00143D06" w:rsidRPr="00143D06">
              <w:rPr>
                <w:sz w:val="18"/>
                <w:szCs w:val="18"/>
              </w:rPr>
              <w:t xml:space="preserve"> </w:t>
            </w:r>
            <w:r w:rsidR="00172ED0" w:rsidRPr="00143D06">
              <w:rPr>
                <w:sz w:val="18"/>
                <w:szCs w:val="18"/>
              </w:rPr>
              <w:t>I</w:t>
            </w:r>
            <w:r w:rsidRPr="00143D06">
              <w:rPr>
                <w:sz w:val="18"/>
                <w:szCs w:val="18"/>
              </w:rPr>
              <w:t>nvestment in energy infrastructure and clean technologies, and the increase in the participation of indigenous sources, especially geothermal energy, intermittent renewable sources (solar and wind), the modern use of biomass (forest residues, energy plantations, and biogas), and hydropower</w:t>
            </w:r>
            <w:r w:rsidR="0058140A">
              <w:rPr>
                <w:sz w:val="18"/>
                <w:szCs w:val="18"/>
              </w:rPr>
              <w:t>; and</w:t>
            </w:r>
            <w:r w:rsidRPr="00143D06">
              <w:rPr>
                <w:sz w:val="18"/>
                <w:szCs w:val="18"/>
              </w:rPr>
              <w:t xml:space="preserve"> the diversification of fuels</w:t>
            </w:r>
            <w:r w:rsidR="0058140A">
              <w:rPr>
                <w:sz w:val="18"/>
                <w:szCs w:val="18"/>
              </w:rPr>
              <w:t xml:space="preserve"> supply</w:t>
            </w:r>
            <w:r w:rsidRPr="00143D06">
              <w:rPr>
                <w:sz w:val="18"/>
                <w:szCs w:val="18"/>
              </w:rPr>
              <w:t xml:space="preserve">, favoring less polluting </w:t>
            </w:r>
            <w:r w:rsidR="0058140A">
              <w:rPr>
                <w:sz w:val="18"/>
                <w:szCs w:val="18"/>
              </w:rPr>
              <w:t>sources.</w:t>
            </w:r>
          </w:p>
          <w:p w14:paraId="5381D4AD" w14:textId="0ABB741B" w:rsidR="0024685F" w:rsidRPr="00172ED0" w:rsidRDefault="0024685F" w:rsidP="00D47A90">
            <w:pPr>
              <w:pStyle w:val="Prrafodelista"/>
              <w:keepNext/>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jc w:val="left"/>
              <w:rPr>
                <w:sz w:val="18"/>
                <w:szCs w:val="18"/>
              </w:rPr>
            </w:pPr>
            <w:r w:rsidRPr="00172ED0">
              <w:rPr>
                <w:sz w:val="18"/>
                <w:szCs w:val="18"/>
              </w:rPr>
              <w:t>Promote the participation of all consumer sectors (</w:t>
            </w:r>
            <w:r w:rsidR="00143D06">
              <w:rPr>
                <w:sz w:val="18"/>
                <w:szCs w:val="18"/>
              </w:rPr>
              <w:t>residential</w:t>
            </w:r>
            <w:r w:rsidRPr="00172ED0">
              <w:rPr>
                <w:sz w:val="18"/>
                <w:szCs w:val="18"/>
              </w:rPr>
              <w:t>, private and public sectors, municipalities, community organizations, and micro, small and medium-sized enterprises) in the use of renewable energy sources and the distributed generation of electricity.</w:t>
            </w:r>
          </w:p>
          <w:p w14:paraId="36C8D1E1" w14:textId="01519157" w:rsidR="0024685F" w:rsidRPr="00172ED0" w:rsidRDefault="0024685F" w:rsidP="00D47A90">
            <w:pPr>
              <w:pStyle w:val="Prrafodelista"/>
              <w:keepNext/>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jc w:val="left"/>
              <w:rPr>
                <w:sz w:val="18"/>
                <w:szCs w:val="18"/>
              </w:rPr>
            </w:pPr>
            <w:r w:rsidRPr="00172ED0">
              <w:rPr>
                <w:sz w:val="18"/>
                <w:szCs w:val="18"/>
              </w:rPr>
              <w:t>Support the formation of energy service companies (ESCOs), which will play a fundamental role in forming the value chain and achieving the Energy Strategy 2030.</w:t>
            </w:r>
          </w:p>
          <w:p w14:paraId="51288731" w14:textId="20DA96E6" w:rsidR="0024685F" w:rsidRPr="00172ED0" w:rsidRDefault="0024685F" w:rsidP="00D47A90">
            <w:pPr>
              <w:pStyle w:val="Prrafodelista"/>
              <w:keepNext/>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jc w:val="left"/>
              <w:rPr>
                <w:sz w:val="18"/>
                <w:szCs w:val="18"/>
              </w:rPr>
            </w:pPr>
            <w:r w:rsidRPr="00172ED0">
              <w:rPr>
                <w:sz w:val="18"/>
                <w:szCs w:val="18"/>
              </w:rPr>
              <w:t>Promote the participation of women in all activities in the energy sector to disseminate efficient and clean energy technologies, manage ESCOs, and develop energy entrepreneurship.</w:t>
            </w:r>
          </w:p>
          <w:p w14:paraId="1AD75691" w14:textId="6218172F" w:rsidR="0024685F" w:rsidRPr="00172ED0" w:rsidRDefault="0024685F" w:rsidP="00D47A90">
            <w:pPr>
              <w:pStyle w:val="Prrafodelista"/>
              <w:keepNext/>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jc w:val="left"/>
              <w:rPr>
                <w:sz w:val="18"/>
                <w:szCs w:val="18"/>
              </w:rPr>
            </w:pPr>
            <w:r w:rsidRPr="00172ED0">
              <w:rPr>
                <w:sz w:val="18"/>
                <w:szCs w:val="18"/>
              </w:rPr>
              <w:t>Advance in regional electricity integration and support cooperation and complementarity in other energy subsectors, including harmonizing national markets (oil, natural gas, regulatory frameworks, and standards).</w:t>
            </w:r>
          </w:p>
          <w:p w14:paraId="5220C481" w14:textId="024A8983" w:rsidR="0024685F" w:rsidRPr="00172ED0" w:rsidRDefault="0024685F" w:rsidP="00D47A90">
            <w:pPr>
              <w:pStyle w:val="Prrafodelista"/>
              <w:keepNext/>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jc w:val="left"/>
              <w:rPr>
                <w:sz w:val="18"/>
                <w:szCs w:val="18"/>
              </w:rPr>
            </w:pPr>
            <w:r w:rsidRPr="00172ED0">
              <w:rPr>
                <w:sz w:val="18"/>
                <w:szCs w:val="18"/>
              </w:rPr>
              <w:t>Incorporate the “SICA Energy Sector Plan to face the COVID-19 crisis” within the EES-SICA 2030 to minimize the risks to the sustainability of the countries’ energy sector, derived from the health crisis of the coronavirus pandemic.</w:t>
            </w:r>
          </w:p>
          <w:p w14:paraId="4E1F5BCF" w14:textId="078A7876" w:rsidR="0024685F" w:rsidRPr="00172ED0" w:rsidRDefault="0024685F" w:rsidP="00D47A90">
            <w:pPr>
              <w:pStyle w:val="Prrafodelista"/>
              <w:keepNext/>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jc w:val="left"/>
              <w:rPr>
                <w:sz w:val="18"/>
                <w:szCs w:val="18"/>
              </w:rPr>
            </w:pPr>
            <w:r w:rsidRPr="00172ED0">
              <w:rPr>
                <w:sz w:val="18"/>
                <w:szCs w:val="18"/>
              </w:rPr>
              <w:t>Advance in creating monitoring, reporting, and verification system of the goals established in the 2030 Energy Strategy.</w:t>
            </w:r>
          </w:p>
          <w:p w14:paraId="2411F0F6" w14:textId="77777777" w:rsidR="0024685F" w:rsidRPr="00067372" w:rsidRDefault="0024685F" w:rsidP="00D47A9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rPr>
                <w:sz w:val="18"/>
                <w:szCs w:val="18"/>
              </w:rPr>
            </w:pPr>
          </w:p>
        </w:tc>
      </w:tr>
    </w:tbl>
    <w:p w14:paraId="375CE9B4" w14:textId="198F2660" w:rsidR="0024685F" w:rsidRPr="00B664F6" w:rsidRDefault="00172ED0" w:rsidP="0033613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i/>
          <w:iCs/>
          <w:sz w:val="16"/>
          <w:szCs w:val="16"/>
        </w:rPr>
      </w:pPr>
      <w:r w:rsidRPr="00B664F6">
        <w:rPr>
          <w:i/>
          <w:iCs/>
          <w:sz w:val="16"/>
          <w:szCs w:val="16"/>
        </w:rPr>
        <w:t xml:space="preserve">Source: SICA &lt; </w:t>
      </w:r>
      <w:hyperlink r:id="rId39" w:history="1">
        <w:r w:rsidRPr="00B664F6">
          <w:rPr>
            <w:rStyle w:val="Hipervnculo"/>
            <w:i/>
            <w:iCs/>
            <w:sz w:val="16"/>
            <w:szCs w:val="16"/>
          </w:rPr>
          <w:t>https://www.sica.int/documentos/estrategia-energetica-sustentable-2030-de-los-paises-del-sica-ees-sica-2030_1_124775.html</w:t>
        </w:r>
      </w:hyperlink>
      <w:r w:rsidRPr="00B664F6">
        <w:rPr>
          <w:i/>
          <w:iCs/>
          <w:sz w:val="16"/>
          <w:szCs w:val="16"/>
        </w:rPr>
        <w:t xml:space="preserve"> &gt;</w:t>
      </w:r>
    </w:p>
    <w:p w14:paraId="0DB1885E" w14:textId="77777777" w:rsidR="00983966" w:rsidRDefault="00983966" w:rsidP="00336136">
      <w:pPr>
        <w:spacing w:line="240" w:lineRule="auto"/>
        <w:rPr>
          <w:szCs w:val="20"/>
        </w:rPr>
      </w:pPr>
      <w:r>
        <w:rPr>
          <w:szCs w:val="20"/>
        </w:rPr>
        <w:t>To provide a global context, there is an upward trend reflecting not only the rapid and increasing growth of the use of renewables, but also the declining expansion of non-renewable capacity. At the global level, the latter is also affected by the large amount of net decommissioning that has occurred for many years in some regions.</w:t>
      </w:r>
    </w:p>
    <w:p w14:paraId="2A4D05AC" w14:textId="3988157B" w:rsidR="00983966" w:rsidRDefault="00983966" w:rsidP="00336136">
      <w:pPr>
        <w:pStyle w:val="Descripcin"/>
        <w:keepNext/>
        <w:spacing w:after="160"/>
        <w:jc w:val="center"/>
      </w:pPr>
      <w:r w:rsidRPr="00BC71BF">
        <w:rPr>
          <w:b/>
          <w:bCs/>
        </w:rPr>
        <w:t xml:space="preserve">Figure </w:t>
      </w:r>
      <w:r w:rsidRPr="00BC71BF">
        <w:rPr>
          <w:b/>
          <w:bCs/>
        </w:rPr>
        <w:fldChar w:fldCharType="begin"/>
      </w:r>
      <w:r w:rsidRPr="00BC71BF">
        <w:rPr>
          <w:b/>
          <w:bCs/>
        </w:rPr>
        <w:instrText xml:space="preserve"> SEQ Figure \* ARABIC </w:instrText>
      </w:r>
      <w:r w:rsidRPr="00BC71BF">
        <w:rPr>
          <w:b/>
          <w:bCs/>
        </w:rPr>
        <w:fldChar w:fldCharType="separate"/>
      </w:r>
      <w:r w:rsidR="00D054D0">
        <w:rPr>
          <w:b/>
          <w:bCs/>
          <w:noProof/>
        </w:rPr>
        <w:t>3</w:t>
      </w:r>
      <w:r w:rsidRPr="00BC71BF">
        <w:rPr>
          <w:b/>
          <w:bCs/>
        </w:rPr>
        <w:fldChar w:fldCharType="end"/>
      </w:r>
      <w:r w:rsidRPr="00BC71BF">
        <w:rPr>
          <w:b/>
          <w:bCs/>
        </w:rPr>
        <w:t>.</w:t>
      </w:r>
      <w:r>
        <w:t xml:space="preserve"> Renewable share of annual power capacity expansion</w:t>
      </w:r>
    </w:p>
    <w:p w14:paraId="027E7A55" w14:textId="2EA5D42A" w:rsidR="0024685F" w:rsidRDefault="00983966" w:rsidP="00336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b/>
          <w:bCs/>
        </w:rPr>
      </w:pPr>
      <w:r>
        <w:rPr>
          <w:noProof/>
        </w:rPr>
        <w:drawing>
          <wp:inline distT="0" distB="0" distL="0" distR="0" wp14:anchorId="2AC90D73" wp14:editId="29522025">
            <wp:extent cx="4589362" cy="2453833"/>
            <wp:effectExtent l="0" t="0" r="1905" b="3810"/>
            <wp:docPr id="2" name="Imagen 2" descr="Gráfico&#10;&#10;Descripción generada automáticamente"/>
            <wp:cNvGraphicFramePr/>
            <a:graphic xmlns:a="http://schemas.openxmlformats.org/drawingml/2006/main">
              <a:graphicData uri="http://schemas.openxmlformats.org/drawingml/2006/picture">
                <pic:pic xmlns:pic="http://schemas.openxmlformats.org/drawingml/2006/picture">
                  <pic:nvPicPr>
                    <pic:cNvPr id="2" name="Imagen 2" descr="Gráfico&#10;&#10;Descripción generada automáticamente"/>
                    <pic:cNvPicPr/>
                  </pic:nvPicPr>
                  <pic:blipFill rotWithShape="1">
                    <a:blip r:embed="rId40">
                      <a:extLst>
                        <a:ext uri="{28A0092B-C50C-407E-A947-70E740481C1C}">
                          <a14:useLocalDpi xmlns:a14="http://schemas.microsoft.com/office/drawing/2010/main" val="0"/>
                        </a:ext>
                      </a:extLst>
                    </a:blip>
                    <a:srcRect t="5566"/>
                    <a:stretch/>
                  </pic:blipFill>
                  <pic:spPr bwMode="auto">
                    <a:xfrm>
                      <a:off x="0" y="0"/>
                      <a:ext cx="4596483" cy="2457640"/>
                    </a:xfrm>
                    <a:prstGeom prst="rect">
                      <a:avLst/>
                    </a:prstGeom>
                    <a:noFill/>
                    <a:ln>
                      <a:noFill/>
                    </a:ln>
                    <a:extLst>
                      <a:ext uri="{53640926-AAD7-44D8-BBD7-CCE9431645EC}">
                        <a14:shadowObscured xmlns:a14="http://schemas.microsoft.com/office/drawing/2010/main"/>
                      </a:ext>
                    </a:extLst>
                  </pic:spPr>
                </pic:pic>
              </a:graphicData>
            </a:graphic>
          </wp:inline>
        </w:drawing>
      </w:r>
    </w:p>
    <w:p w14:paraId="4FC8BE84" w14:textId="63BDC249" w:rsidR="00BC71BF" w:rsidRPr="00BC71BF" w:rsidRDefault="00BC71BF" w:rsidP="00336136">
      <w:pPr>
        <w:spacing w:line="240" w:lineRule="auto"/>
        <w:ind w:left="993"/>
        <w:rPr>
          <w:i/>
          <w:iCs/>
          <w:sz w:val="18"/>
          <w:szCs w:val="18"/>
        </w:rPr>
      </w:pPr>
      <w:r w:rsidRPr="007B0FAD">
        <w:rPr>
          <w:i/>
          <w:iCs/>
          <w:sz w:val="16"/>
          <w:szCs w:val="16"/>
        </w:rPr>
        <w:t>Source: Jeong, J. and H. Ko (2021), Bracing for climate impact: Renewables as a climate change adaptation strategy, International Renewable Energy Agency, Abu Dhabi</w:t>
      </w:r>
      <w:r w:rsidRPr="00BC71BF">
        <w:rPr>
          <w:i/>
          <w:iCs/>
          <w:sz w:val="18"/>
          <w:szCs w:val="18"/>
        </w:rPr>
        <w:t>.</w:t>
      </w:r>
    </w:p>
    <w:p w14:paraId="4B2C4822" w14:textId="18E4CC80" w:rsidR="00172ED0" w:rsidRPr="0058140A" w:rsidRDefault="0058140A" w:rsidP="00336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szCs w:val="20"/>
        </w:rPr>
      </w:pPr>
      <w:r w:rsidRPr="0058140A">
        <w:rPr>
          <w:szCs w:val="20"/>
        </w:rPr>
        <w:t xml:space="preserve">Unfortunately, </w:t>
      </w:r>
      <w:r>
        <w:rPr>
          <w:szCs w:val="20"/>
        </w:rPr>
        <w:t>when compared with other regions, Central America is showing a very timid growth rate for renewables in recent years.</w:t>
      </w:r>
    </w:p>
    <w:p w14:paraId="3CEC160E" w14:textId="6A60B71F" w:rsidR="00BC71BF" w:rsidRDefault="00BC71BF" w:rsidP="00336136">
      <w:pPr>
        <w:pStyle w:val="Descripcin"/>
        <w:keepNext/>
        <w:spacing w:after="160"/>
        <w:jc w:val="center"/>
      </w:pPr>
      <w:r w:rsidRPr="00336136">
        <w:rPr>
          <w:b/>
          <w:bCs/>
        </w:rPr>
        <w:t xml:space="preserve">Figure </w:t>
      </w:r>
      <w:r w:rsidRPr="00336136">
        <w:rPr>
          <w:b/>
          <w:bCs/>
        </w:rPr>
        <w:fldChar w:fldCharType="begin"/>
      </w:r>
      <w:r w:rsidRPr="00336136">
        <w:rPr>
          <w:b/>
          <w:bCs/>
        </w:rPr>
        <w:instrText xml:space="preserve"> SEQ Figure \* ARABIC </w:instrText>
      </w:r>
      <w:r w:rsidRPr="00336136">
        <w:rPr>
          <w:b/>
          <w:bCs/>
        </w:rPr>
        <w:fldChar w:fldCharType="separate"/>
      </w:r>
      <w:r w:rsidR="00D054D0">
        <w:rPr>
          <w:b/>
          <w:bCs/>
          <w:noProof/>
        </w:rPr>
        <w:t>4</w:t>
      </w:r>
      <w:r w:rsidRPr="00336136">
        <w:rPr>
          <w:b/>
          <w:bCs/>
        </w:rPr>
        <w:fldChar w:fldCharType="end"/>
      </w:r>
      <w:r w:rsidRPr="00336136">
        <w:rPr>
          <w:b/>
          <w:bCs/>
        </w:rPr>
        <w:t>.</w:t>
      </w:r>
      <w:r w:rsidRPr="00336136">
        <w:t xml:space="preserve"> Renewable</w:t>
      </w:r>
      <w:r>
        <w:t xml:space="preserve"> generation capacity by region.</w:t>
      </w:r>
    </w:p>
    <w:p w14:paraId="506311BC" w14:textId="2B24DE38" w:rsidR="00BC71BF" w:rsidRDefault="00BC71BF" w:rsidP="00D47A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b/>
          <w:bCs/>
        </w:rPr>
      </w:pPr>
      <w:r>
        <w:rPr>
          <w:b/>
          <w:bCs/>
          <w:noProof/>
        </w:rPr>
        <w:drawing>
          <wp:inline distT="0" distB="0" distL="0" distR="0" wp14:anchorId="44359D3E" wp14:editId="0EAABD50">
            <wp:extent cx="4803680" cy="2341498"/>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1">
                      <a:extLst>
                        <a:ext uri="{28A0092B-C50C-407E-A947-70E740481C1C}">
                          <a14:useLocalDpi xmlns:a14="http://schemas.microsoft.com/office/drawing/2010/main" val="0"/>
                        </a:ext>
                      </a:extLst>
                    </a:blip>
                    <a:srcRect t="7543"/>
                    <a:stretch/>
                  </pic:blipFill>
                  <pic:spPr bwMode="auto">
                    <a:xfrm>
                      <a:off x="0" y="0"/>
                      <a:ext cx="4808197" cy="2343700"/>
                    </a:xfrm>
                    <a:prstGeom prst="rect">
                      <a:avLst/>
                    </a:prstGeom>
                    <a:noFill/>
                    <a:ln>
                      <a:noFill/>
                    </a:ln>
                    <a:extLst>
                      <a:ext uri="{53640926-AAD7-44D8-BBD7-CCE9431645EC}">
                        <a14:shadowObscured xmlns:a14="http://schemas.microsoft.com/office/drawing/2010/main"/>
                      </a:ext>
                    </a:extLst>
                  </pic:spPr>
                </pic:pic>
              </a:graphicData>
            </a:graphic>
          </wp:inline>
        </w:drawing>
      </w:r>
    </w:p>
    <w:p w14:paraId="4FE51351" w14:textId="66B973E9" w:rsidR="0024685F" w:rsidRPr="00472B84" w:rsidRDefault="0024685F" w:rsidP="00336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 w:rsidRPr="00472B84">
        <w:t xml:space="preserve">After </w:t>
      </w:r>
      <w:r w:rsidR="00D47A90">
        <w:t xml:space="preserve">the </w:t>
      </w:r>
      <w:r w:rsidRPr="00472B84">
        <w:t xml:space="preserve">ratification of the Paris Agreement, countries had the option to provide updated Nationally Determined Contributions (NDCs). </w:t>
      </w:r>
      <w:r w:rsidR="00D47A90">
        <w:t>A</w:t>
      </w:r>
      <w:r w:rsidR="005A0DD3" w:rsidRPr="00472B84">
        <w:t>ll the SICA nations have proposed a series of goals in an energy transition process, based on measures that contemplate all dimensions of sustainable development.</w:t>
      </w:r>
      <w:r w:rsidR="005A0DD3">
        <w:t xml:space="preserve"> The</w:t>
      </w:r>
      <w:r w:rsidRPr="00472B84">
        <w:t xml:space="preserve"> information on the ratified mitigation measures</w:t>
      </w:r>
      <w:r w:rsidR="001865FC">
        <w:t>, targets</w:t>
      </w:r>
      <w:r w:rsidRPr="00472B84">
        <w:t xml:space="preserve"> and priority sectors for adaptation of SICA countries in their NDCs</w:t>
      </w:r>
      <w:r w:rsidR="005A0DD3">
        <w:t xml:space="preserve"> is described in the Annex 3. </w:t>
      </w:r>
      <w:r w:rsidR="005A44D6">
        <w:t>They are aimed at</w:t>
      </w:r>
      <w:r w:rsidR="00D47A90">
        <w:t xml:space="preserve"> </w:t>
      </w:r>
      <w:r w:rsidRPr="00472B84">
        <w:t>facilitat</w:t>
      </w:r>
      <w:r w:rsidR="005A44D6">
        <w:t>ing</w:t>
      </w:r>
      <w:r w:rsidRPr="00472B84">
        <w:t xml:space="preserve"> access to energy for vulnerable </w:t>
      </w:r>
      <w:r w:rsidR="005A44D6">
        <w:t>population</w:t>
      </w:r>
      <w:r w:rsidRPr="00472B84">
        <w:t>, making efficient use of energy, increasing the use of renewable energies, and defining an adequate strategy against climate change according to the commitments assumed in the NDC</w:t>
      </w:r>
      <w:r w:rsidR="00143D06">
        <w:t>s</w:t>
      </w:r>
      <w:r w:rsidRPr="00472B84">
        <w:t xml:space="preserve">. </w:t>
      </w:r>
    </w:p>
    <w:p w14:paraId="08B3DC20" w14:textId="28ADC3A6" w:rsidR="008F09B0" w:rsidRDefault="00BC71BF" w:rsidP="00336136">
      <w:pPr>
        <w:spacing w:line="240" w:lineRule="auto"/>
      </w:pPr>
      <w:r w:rsidRPr="00BC71BF">
        <w:t xml:space="preserve">The World Resources Institute’s (WRI’s) Climate Analysis Indicators Tool (CAIT) is a database of anthropogenic sources and sinks of GHGs worldwide. </w:t>
      </w:r>
      <w:r w:rsidR="00143D06">
        <w:t>The</w:t>
      </w:r>
      <w:r w:rsidR="00803A37">
        <w:t xml:space="preserve"> next figure describe</w:t>
      </w:r>
      <w:r w:rsidR="00143D06">
        <w:t>s</w:t>
      </w:r>
      <w:r w:rsidR="00803A37">
        <w:t xml:space="preserve"> the historical GHG emissions from the energy sector of the countries under study. </w:t>
      </w:r>
    </w:p>
    <w:p w14:paraId="7226ACBF" w14:textId="10497317" w:rsidR="00803A37" w:rsidRDefault="00803A37" w:rsidP="00336136">
      <w:pPr>
        <w:pStyle w:val="Descripcin"/>
        <w:keepNext/>
        <w:spacing w:after="160"/>
        <w:jc w:val="center"/>
      </w:pPr>
      <w:r w:rsidRPr="00803A37">
        <w:rPr>
          <w:b/>
          <w:bCs/>
        </w:rPr>
        <w:t xml:space="preserve">Figure </w:t>
      </w:r>
      <w:r w:rsidRPr="00803A37">
        <w:rPr>
          <w:b/>
          <w:bCs/>
        </w:rPr>
        <w:fldChar w:fldCharType="begin"/>
      </w:r>
      <w:r w:rsidRPr="00803A37">
        <w:rPr>
          <w:b/>
          <w:bCs/>
        </w:rPr>
        <w:instrText xml:space="preserve"> SEQ Figure \* ARABIC </w:instrText>
      </w:r>
      <w:r w:rsidRPr="00803A37">
        <w:rPr>
          <w:b/>
          <w:bCs/>
        </w:rPr>
        <w:fldChar w:fldCharType="separate"/>
      </w:r>
      <w:r w:rsidR="00D054D0">
        <w:rPr>
          <w:b/>
          <w:bCs/>
          <w:noProof/>
        </w:rPr>
        <w:t>5</w:t>
      </w:r>
      <w:r w:rsidRPr="00803A37">
        <w:rPr>
          <w:b/>
          <w:bCs/>
        </w:rPr>
        <w:fldChar w:fldCharType="end"/>
      </w:r>
      <w:r w:rsidRPr="00803A37">
        <w:rPr>
          <w:b/>
          <w:bCs/>
        </w:rPr>
        <w:t>.</w:t>
      </w:r>
      <w:r>
        <w:t xml:space="preserve"> </w:t>
      </w:r>
      <w:r w:rsidRPr="00867682">
        <w:t>Central America: Historical GHG emissions from the energy sector (2000-2018) per country</w:t>
      </w:r>
    </w:p>
    <w:p w14:paraId="2506D103" w14:textId="77777777" w:rsidR="00803A37" w:rsidRPr="00803A37" w:rsidRDefault="00803A37" w:rsidP="00336136">
      <w:pPr>
        <w:keepNext/>
        <w:spacing w:line="240" w:lineRule="auto"/>
        <w:jc w:val="center"/>
        <w:rPr>
          <w:rFonts w:cs="Arial"/>
          <w:b/>
        </w:rPr>
      </w:pPr>
      <w:r w:rsidRPr="00803A37">
        <w:rPr>
          <w:rFonts w:cs="Arial"/>
          <w:b/>
          <w:noProof/>
        </w:rPr>
        <w:drawing>
          <wp:inline distT="0" distB="0" distL="0" distR="0" wp14:anchorId="29D0B1C0" wp14:editId="5AAF570D">
            <wp:extent cx="5435782" cy="3113188"/>
            <wp:effectExtent l="0" t="0" r="0" b="0"/>
            <wp:docPr id="1" name="Imagen 1"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Gráfico, Gráfico de líneas&#10;&#10;Descripción generada automáticament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83010" cy="3140237"/>
                    </a:xfrm>
                    <a:prstGeom prst="rect">
                      <a:avLst/>
                    </a:prstGeom>
                    <a:noFill/>
                    <a:ln>
                      <a:noFill/>
                    </a:ln>
                  </pic:spPr>
                </pic:pic>
              </a:graphicData>
            </a:graphic>
          </wp:inline>
        </w:drawing>
      </w:r>
    </w:p>
    <w:p w14:paraId="7C586E06" w14:textId="0009DED0" w:rsidR="00BC71BF" w:rsidRPr="00D47A90" w:rsidRDefault="00803A37" w:rsidP="00D47A90">
      <w:pPr>
        <w:keepNext/>
        <w:spacing w:line="240" w:lineRule="auto"/>
        <w:rPr>
          <w:i/>
          <w:iCs/>
          <w:sz w:val="16"/>
          <w:szCs w:val="16"/>
        </w:rPr>
      </w:pPr>
      <w:r w:rsidRPr="00D47A90">
        <w:rPr>
          <w:i/>
          <w:iCs/>
          <w:sz w:val="16"/>
          <w:szCs w:val="16"/>
        </w:rPr>
        <w:t xml:space="preserve">Source: World Resources Institute’s (WRI’s) Climate Analysis Indicators Tool (CAIT), a database of anthropogenic sources and sinks of GHGs worldwide. Energy sector emissions include those related to electricity generation, transportation, and other uses of fuel. </w:t>
      </w:r>
    </w:p>
    <w:p w14:paraId="7B4F7496" w14:textId="2EFC8F9F" w:rsidR="00BC71BF" w:rsidRPr="00472B84" w:rsidRDefault="00BC71BF" w:rsidP="00336136">
      <w:pPr>
        <w:spacing w:line="240" w:lineRule="auto"/>
      </w:pPr>
      <w:r w:rsidRPr="00BC71BF">
        <w:t xml:space="preserve">The current carbon emissions growth rate is especially unsustainable for Guatemala, but </w:t>
      </w:r>
      <w:r w:rsidR="007E34B8">
        <w:t>also</w:t>
      </w:r>
      <w:r w:rsidRPr="00BC71BF">
        <w:t xml:space="preserve"> significant for Honduras and Panama</w:t>
      </w:r>
      <w:r>
        <w:t>.</w:t>
      </w:r>
      <w:r w:rsidR="00D47A90">
        <w:t xml:space="preserve"> </w:t>
      </w:r>
      <w:r w:rsidRPr="00BC71BF">
        <w:t>Depending on policy adoption, GHG emissions from the e</w:t>
      </w:r>
      <w:r w:rsidR="007E34B8">
        <w:t xml:space="preserve">nergy </w:t>
      </w:r>
      <w:r w:rsidRPr="00BC71BF">
        <w:t>sector in the region can grow from the current 65 Mt/yr (2020) up to 115 Mt/yr in 2050 and 260 Mt/year in 2100 if no policy is implemented</w:t>
      </w:r>
      <w:r>
        <w:t xml:space="preserve"> according with the WRI’s projection.</w:t>
      </w:r>
    </w:p>
    <w:p w14:paraId="4C5F70D0" w14:textId="2906408A" w:rsidR="008F09B0" w:rsidRPr="00472B84" w:rsidRDefault="008F09B0" w:rsidP="00336136">
      <w:pPr>
        <w:pStyle w:val="Ttulo2"/>
        <w:spacing w:before="0" w:line="240" w:lineRule="auto"/>
      </w:pPr>
      <w:bookmarkStart w:id="26" w:name="_Toc90453970"/>
      <w:r w:rsidRPr="00472B84">
        <w:t>Segments and subsectors with the greatest potential for growth</w:t>
      </w:r>
      <w:bookmarkEnd w:id="26"/>
    </w:p>
    <w:p w14:paraId="28A1BDF4" w14:textId="2A48AA42" w:rsidR="00BC71BF" w:rsidRDefault="00BC71BF" w:rsidP="00336136">
      <w:pPr>
        <w:spacing w:line="240" w:lineRule="auto"/>
        <w:rPr>
          <w:szCs w:val="20"/>
        </w:rPr>
      </w:pPr>
      <w:r>
        <w:rPr>
          <w:szCs w:val="20"/>
        </w:rPr>
        <w:t>As mentioned in the previous sections of this report, the Central American countries still have a significant remaining potential to increase their installed capacity in various renewable technologies, both traditional (such as hydro, geothermal and biomass), as well as the “unconventional” (wind and solar). However, investment opportunities are currently clearer for the latter (especially for solar photovoltaics), because of continuous technological advances that have significantly reduced their cost.</w:t>
      </w:r>
    </w:p>
    <w:p w14:paraId="6000F595" w14:textId="7AC8BD68" w:rsidR="00BC71BF" w:rsidRDefault="00BC71BF" w:rsidP="00336136">
      <w:pPr>
        <w:spacing w:line="240" w:lineRule="auto"/>
        <w:rPr>
          <w:szCs w:val="20"/>
        </w:rPr>
      </w:pPr>
      <w:r>
        <w:rPr>
          <w:szCs w:val="20"/>
        </w:rPr>
        <w:t>The opportunities for distributed generation and self-consumption through solar photovoltaic are especially significant</w:t>
      </w:r>
      <w:r w:rsidR="007B0FAD">
        <w:rPr>
          <w:szCs w:val="20"/>
        </w:rPr>
        <w:t xml:space="preserve">. Additionally, </w:t>
      </w:r>
      <w:r>
        <w:rPr>
          <w:szCs w:val="20"/>
        </w:rPr>
        <w:t>solar technology also presents growth opportunities for water heating in the residential, agro-industrial and tourism sectors of Central America; in other words, it is an important technology on both the demand side and the supply side of energy.</w:t>
      </w:r>
    </w:p>
    <w:p w14:paraId="1FDA3AF5" w14:textId="77777777" w:rsidR="00BC71BF" w:rsidRDefault="00BC71BF" w:rsidP="00336136">
      <w:pPr>
        <w:spacing w:line="240" w:lineRule="auto"/>
        <w:rPr>
          <w:szCs w:val="20"/>
        </w:rPr>
      </w:pPr>
      <w:r>
        <w:rPr>
          <w:szCs w:val="20"/>
        </w:rPr>
        <w:t>To take advantage of the remaining potential of solar and wind technologies in the region, it is necessary to solve the problem of high variability and intermittency, through technologies that are complementary to them, namely:</w:t>
      </w:r>
    </w:p>
    <w:p w14:paraId="12149D14" w14:textId="77777777" w:rsidR="00BC71BF" w:rsidRDefault="00BC71BF" w:rsidP="00336136">
      <w:pPr>
        <w:pStyle w:val="Prrafodelista"/>
        <w:numPr>
          <w:ilvl w:val="0"/>
          <w:numId w:val="30"/>
        </w:numPr>
        <w:spacing w:after="160"/>
      </w:pPr>
      <w:r>
        <w:t>Implementation of intelligent transmission and distribution networks (“Smart Grid”), which allow the bidirectional flow of information and electricity. This allows, among other benefits, that homes and businesses can become small producers of electricity and not just be consumers as before.</w:t>
      </w:r>
    </w:p>
    <w:p w14:paraId="3BDAB419" w14:textId="3C7A4347" w:rsidR="00BC71BF" w:rsidRDefault="00BC71BF" w:rsidP="00336136">
      <w:pPr>
        <w:pStyle w:val="Prrafodelista"/>
        <w:numPr>
          <w:ilvl w:val="0"/>
          <w:numId w:val="30"/>
        </w:numPr>
        <w:spacing w:after="160"/>
      </w:pPr>
      <w:r>
        <w:t>Base energy support with</w:t>
      </w:r>
      <w:r w:rsidR="00C73C98">
        <w:t xml:space="preserve"> </w:t>
      </w:r>
      <w:r>
        <w:t>geothermal energy</w:t>
      </w:r>
      <w:r w:rsidR="00C73C98">
        <w:rPr>
          <w:rStyle w:val="Refdenotaalpie"/>
        </w:rPr>
        <w:footnoteReference w:id="15"/>
      </w:r>
      <w:r>
        <w:t>, and better interconnection within Central America and with neighboring countries (Mexico and Colombia).</w:t>
      </w:r>
      <w:r w:rsidR="008D1FEA">
        <w:rPr>
          <w:rStyle w:val="Refdenotaalpie"/>
        </w:rPr>
        <w:footnoteReference w:id="16"/>
      </w:r>
    </w:p>
    <w:p w14:paraId="503C06E3" w14:textId="1281FDCD" w:rsidR="00BC71BF" w:rsidRDefault="00BC71BF" w:rsidP="00336136">
      <w:pPr>
        <w:pStyle w:val="Prrafodelista"/>
        <w:numPr>
          <w:ilvl w:val="0"/>
          <w:numId w:val="30"/>
        </w:numPr>
        <w:spacing w:after="160"/>
      </w:pPr>
      <w:r>
        <w:t>The deployment of electricity storage with high-capacity, deep-cycle batteries.</w:t>
      </w:r>
    </w:p>
    <w:p w14:paraId="1FF251A7" w14:textId="1E88DE2D" w:rsidR="00375131" w:rsidRDefault="00375131" w:rsidP="00336136">
      <w:pPr>
        <w:pStyle w:val="Prrafodelista"/>
        <w:numPr>
          <w:ilvl w:val="0"/>
          <w:numId w:val="30"/>
        </w:numPr>
        <w:spacing w:after="160"/>
      </w:pPr>
      <w:r w:rsidRPr="00375131">
        <w:t>Manufacture of green hydrogen from RE sources</w:t>
      </w:r>
      <w:r>
        <w:t>, for transportation or productive uses in the region or in foreign markets.</w:t>
      </w:r>
    </w:p>
    <w:p w14:paraId="29E10A35" w14:textId="77777777" w:rsidR="00BC71BF" w:rsidRDefault="00BC71BF" w:rsidP="00336136">
      <w:pPr>
        <w:spacing w:line="240" w:lineRule="auto"/>
        <w:rPr>
          <w:szCs w:val="20"/>
        </w:rPr>
      </w:pPr>
      <w:r>
        <w:rPr>
          <w:szCs w:val="20"/>
        </w:rPr>
        <w:t>On the other hand, within the “traditional” technologies, opportunities have been identified in:</w:t>
      </w:r>
    </w:p>
    <w:p w14:paraId="395161A1" w14:textId="77777777" w:rsidR="00BC71BF" w:rsidRDefault="00BC71BF" w:rsidP="00336136">
      <w:pPr>
        <w:pStyle w:val="Prrafodelista"/>
        <w:numPr>
          <w:ilvl w:val="0"/>
          <w:numId w:val="30"/>
        </w:numPr>
        <w:spacing w:after="160"/>
      </w:pPr>
      <w:r>
        <w:t>Small-scale solar-hydro hybrid systems (less than 10 MW) connected to the ends of the distribution networks. These are less vulnerable to the water deficit caused by climate change because they can operate both in the rainy season and in the dry season, reduce losses in the networks, improve energy quality, and reduce dependence of rural distribution companies from large nationally centralized plants.</w:t>
      </w:r>
    </w:p>
    <w:p w14:paraId="021B372E" w14:textId="261D1EA9" w:rsidR="00BC71BF" w:rsidRDefault="00BC71BF" w:rsidP="00336136">
      <w:pPr>
        <w:pStyle w:val="Prrafodelista"/>
        <w:numPr>
          <w:ilvl w:val="0"/>
          <w:numId w:val="30"/>
        </w:numPr>
        <w:spacing w:after="160"/>
      </w:pPr>
      <w:r>
        <w:t>Bioenergy</w:t>
      </w:r>
      <w:r w:rsidR="00CB34EF">
        <w:t xml:space="preserve"> </w:t>
      </w:r>
      <w:r>
        <w:t xml:space="preserve">from agro-industrial waste, for </w:t>
      </w:r>
      <w:r w:rsidR="00CB34EF">
        <w:t xml:space="preserve">thermal applications in the industry and specially by </w:t>
      </w:r>
      <w:r>
        <w:t>agro-industr</w:t>
      </w:r>
      <w:r w:rsidR="00CB34EF">
        <w:t xml:space="preserve">y sector </w:t>
      </w:r>
      <w:r>
        <w:t>in processes that require heat. Much research is also required to ensure the supply and logistics of new biomass sources, such as waste from sawmills, from agricultural crops (coffee pruning, pineapple, sugar cane, palm oil, etc), and livestock farms.</w:t>
      </w:r>
    </w:p>
    <w:p w14:paraId="6920A372" w14:textId="0885C71C" w:rsidR="00BC71BF" w:rsidRDefault="00BC71BF" w:rsidP="00336136">
      <w:pPr>
        <w:pStyle w:val="Prrafodelista"/>
        <w:numPr>
          <w:ilvl w:val="0"/>
          <w:numId w:val="30"/>
        </w:numPr>
        <w:spacing w:after="160"/>
      </w:pPr>
      <w:r>
        <w:t xml:space="preserve">Low enthalpy geothermal energy (less than 150 °C): Projects can be developed for industrial, </w:t>
      </w:r>
      <w:r w:rsidR="00D47A90">
        <w:t>agricultural,</w:t>
      </w:r>
      <w:r>
        <w:t xml:space="preserve"> and recreational activities. Because of the volcanic formations along the Central American Pacific coast, this technology allows the direct use of soil heat to generate electricity, drying agricultural products, greenhouse production, aquaculture, absorption cooling, and swimming pool heating. Opportunities especially strong in Guatemala, El Salvador, </w:t>
      </w:r>
      <w:r w:rsidR="00D47A90">
        <w:t>Nicaragua,</w:t>
      </w:r>
      <w:r>
        <w:t xml:space="preserve"> and Costa Rica.</w:t>
      </w:r>
    </w:p>
    <w:p w14:paraId="242B2E0D" w14:textId="77777777" w:rsidR="00BC71BF" w:rsidRDefault="00BC71BF" w:rsidP="00336136">
      <w:pPr>
        <w:spacing w:line="240" w:lineRule="auto"/>
        <w:rPr>
          <w:szCs w:val="20"/>
        </w:rPr>
      </w:pPr>
      <w:r>
        <w:rPr>
          <w:szCs w:val="20"/>
        </w:rPr>
        <w:t>Likewise, significant investment opportunities have been identified in the following demand-side technologies:</w:t>
      </w:r>
    </w:p>
    <w:p w14:paraId="279266D7" w14:textId="7FE1E14A" w:rsidR="00BC71BF" w:rsidRDefault="00BC71BF" w:rsidP="00336136">
      <w:pPr>
        <w:pStyle w:val="Prrafodelista"/>
        <w:numPr>
          <w:ilvl w:val="0"/>
          <w:numId w:val="31"/>
        </w:numPr>
        <w:spacing w:after="160"/>
      </w:pPr>
      <w:r>
        <w:t xml:space="preserve">Energy </w:t>
      </w:r>
      <w:r w:rsidR="004246AC">
        <w:t>Efficiency, especially</w:t>
      </w:r>
      <w:r>
        <w:t xml:space="preserve"> in engines, air conditioners, compressed </w:t>
      </w:r>
      <w:r w:rsidR="00D47A90">
        <w:t>air,</w:t>
      </w:r>
      <w:r>
        <w:t xml:space="preserve"> and efficient appliances. As well as Combined Heat &amp; Power (CHP) projects in the industry sector of those countries that are willing to introduce natural gas into their energy matrix (Panama, El Salvador and Nicaragua already doing so).</w:t>
      </w:r>
    </w:p>
    <w:p w14:paraId="36800FD6" w14:textId="744D79B8" w:rsidR="00BC71BF" w:rsidRDefault="00BC71BF" w:rsidP="00336136">
      <w:pPr>
        <w:pStyle w:val="Prrafodelista"/>
        <w:numPr>
          <w:ilvl w:val="0"/>
          <w:numId w:val="31"/>
        </w:numPr>
        <w:spacing w:after="160"/>
      </w:pPr>
      <w:r>
        <w:t>Sustainable Transport</w:t>
      </w:r>
      <w:r w:rsidR="004246AC">
        <w:t>, e</w:t>
      </w:r>
      <w:r>
        <w:t xml:space="preserve">specially electric transport, but also with alternative energies such as hydrogen. Not only for vehicle fleets (trains, buses, </w:t>
      </w:r>
      <w:r w:rsidR="00D47A90">
        <w:t>trucks,</w:t>
      </w:r>
      <w:r>
        <w:t xml:space="preserve"> and private vehicles), but also for the accompanying infrastructure (recharging stations, battery recyclers, etc).</w:t>
      </w:r>
    </w:p>
    <w:p w14:paraId="69EC5464" w14:textId="77777777" w:rsidR="00BC71BF" w:rsidRDefault="00BC71BF" w:rsidP="00336136">
      <w:pPr>
        <w:pStyle w:val="Prrafodelista"/>
        <w:numPr>
          <w:ilvl w:val="0"/>
          <w:numId w:val="31"/>
        </w:numPr>
        <w:spacing w:after="160"/>
      </w:pPr>
      <w:r>
        <w:t>Deployment of 5G technologies in the region, which will make it possible to increase the efficiency of cargo and passenger transport, both public and private. For example, this technology prevents information from having to travel over long distances and enables vehicles to communicate with each other and with road infrastructure.</w:t>
      </w:r>
    </w:p>
    <w:p w14:paraId="78024D10" w14:textId="3A61FA8B" w:rsidR="008F09B0" w:rsidRPr="00A87AF1" w:rsidRDefault="008F09B0" w:rsidP="00336136">
      <w:pPr>
        <w:pStyle w:val="Ttulo2"/>
        <w:spacing w:before="0" w:line="240" w:lineRule="auto"/>
      </w:pPr>
      <w:bookmarkStart w:id="27" w:name="_Toc90453971"/>
      <w:r w:rsidRPr="00A87AF1">
        <w:t>Market gaps and installed capacity</w:t>
      </w:r>
      <w:bookmarkEnd w:id="27"/>
    </w:p>
    <w:p w14:paraId="482D4400" w14:textId="77777777" w:rsidR="00A87AF1" w:rsidRDefault="00A87AF1" w:rsidP="00A87AF1">
      <w:pPr>
        <w:rPr>
          <w:szCs w:val="20"/>
        </w:rPr>
      </w:pPr>
      <w:r w:rsidRPr="00D6104B">
        <w:rPr>
          <w:szCs w:val="20"/>
        </w:rPr>
        <w:t>To be able to determine</w:t>
      </w:r>
      <w:r>
        <w:rPr>
          <w:szCs w:val="20"/>
        </w:rPr>
        <w:t xml:space="preserve"> </w:t>
      </w:r>
      <w:r w:rsidRPr="00D6104B">
        <w:rPr>
          <w:szCs w:val="20"/>
        </w:rPr>
        <w:t xml:space="preserve">market gaps, it is convenient to first present the starting point for 2020. </w:t>
      </w:r>
      <w:r>
        <w:rPr>
          <w:szCs w:val="20"/>
        </w:rPr>
        <w:t>The following table illustrates the total current (2020) installed capacity (MW) for the different Central American countries and the different RE technologies used.</w:t>
      </w:r>
    </w:p>
    <w:p w14:paraId="29219AB7" w14:textId="54521B3E" w:rsidR="00A87AF1" w:rsidRDefault="00A87AF1" w:rsidP="00A87AF1">
      <w:pPr>
        <w:pStyle w:val="Descripcin"/>
        <w:keepNext/>
        <w:jc w:val="center"/>
      </w:pPr>
      <w:r w:rsidRPr="00A87AF1">
        <w:rPr>
          <w:b/>
          <w:bCs/>
        </w:rPr>
        <w:t xml:space="preserve">Table </w:t>
      </w:r>
      <w:r w:rsidRPr="00A87AF1">
        <w:rPr>
          <w:b/>
          <w:bCs/>
        </w:rPr>
        <w:fldChar w:fldCharType="begin"/>
      </w:r>
      <w:r w:rsidRPr="00A87AF1">
        <w:rPr>
          <w:b/>
          <w:bCs/>
        </w:rPr>
        <w:instrText xml:space="preserve"> SEQ Table \* ARABIC </w:instrText>
      </w:r>
      <w:r w:rsidRPr="00A87AF1">
        <w:rPr>
          <w:b/>
          <w:bCs/>
        </w:rPr>
        <w:fldChar w:fldCharType="separate"/>
      </w:r>
      <w:r w:rsidR="00D054D0">
        <w:rPr>
          <w:b/>
          <w:bCs/>
          <w:noProof/>
        </w:rPr>
        <w:t>14</w:t>
      </w:r>
      <w:r w:rsidRPr="00A87AF1">
        <w:rPr>
          <w:b/>
          <w:bCs/>
        </w:rPr>
        <w:fldChar w:fldCharType="end"/>
      </w:r>
      <w:r>
        <w:t xml:space="preserve">. </w:t>
      </w:r>
      <w:r w:rsidRPr="009C727A">
        <w:t>Installed RE Capacity per Technology and Country, 2020</w:t>
      </w:r>
    </w:p>
    <w:p w14:paraId="28A4301A" w14:textId="350EDF53" w:rsidR="00A87AF1" w:rsidRDefault="00F24A2F" w:rsidP="00A87AF1">
      <w:pPr>
        <w:ind w:left="-426"/>
        <w:jc w:val="center"/>
        <w:rPr>
          <w:szCs w:val="20"/>
        </w:rPr>
      </w:pPr>
      <w:r w:rsidRPr="00F24A2F">
        <w:rPr>
          <w:noProof/>
        </w:rPr>
        <w:drawing>
          <wp:inline distT="0" distB="0" distL="0" distR="0" wp14:anchorId="32AE9660" wp14:editId="318E39EF">
            <wp:extent cx="5402580" cy="2053590"/>
            <wp:effectExtent l="0" t="0" r="7620" b="381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02580" cy="2053590"/>
                    </a:xfrm>
                    <a:prstGeom prst="rect">
                      <a:avLst/>
                    </a:prstGeom>
                    <a:noFill/>
                    <a:ln>
                      <a:noFill/>
                    </a:ln>
                  </pic:spPr>
                </pic:pic>
              </a:graphicData>
            </a:graphic>
          </wp:inline>
        </w:drawing>
      </w:r>
    </w:p>
    <w:p w14:paraId="4C2CA977" w14:textId="77777777" w:rsidR="00F24A2F" w:rsidRDefault="00F24A2F" w:rsidP="00A87AF1">
      <w:pPr>
        <w:rPr>
          <w:i/>
          <w:iCs/>
          <w:sz w:val="16"/>
          <w:szCs w:val="16"/>
        </w:rPr>
      </w:pPr>
      <w:r w:rsidRPr="004246AC">
        <w:rPr>
          <w:i/>
          <w:iCs/>
          <w:sz w:val="16"/>
          <w:szCs w:val="16"/>
        </w:rPr>
        <w:t>Source: Electricity Subsector Statics of the Central American Integration System (SICA) Countries  2019 -2020.- ECLAC</w:t>
      </w:r>
      <w:r w:rsidRPr="00F24A2F">
        <w:rPr>
          <w:i/>
          <w:iCs/>
          <w:sz w:val="16"/>
          <w:szCs w:val="16"/>
        </w:rPr>
        <w:t xml:space="preserve"> </w:t>
      </w:r>
    </w:p>
    <w:p w14:paraId="576EB3EA" w14:textId="4DFBB3C7" w:rsidR="00A87AF1" w:rsidRPr="00D6104B" w:rsidRDefault="00A87AF1" w:rsidP="00A87AF1">
      <w:pPr>
        <w:rPr>
          <w:szCs w:val="20"/>
        </w:rPr>
      </w:pPr>
      <w:r w:rsidRPr="00D6104B">
        <w:rPr>
          <w:szCs w:val="20"/>
        </w:rPr>
        <w:t xml:space="preserve">Based on the most recent Energy Plans, issued by the authorities of the different countries, the following table shows the expansions that are projected for the main RE technologies. Note that the data is based on plans that have not been updated </w:t>
      </w:r>
      <w:r>
        <w:rPr>
          <w:szCs w:val="20"/>
        </w:rPr>
        <w:t>during</w:t>
      </w:r>
      <w:r w:rsidRPr="00D6104B">
        <w:rPr>
          <w:szCs w:val="20"/>
        </w:rPr>
        <w:t xml:space="preserve"> the last three or four years, a period in which there have been significant changes in the market (sharp drop in demand, impact of COVID-19, continued reduction in prices of photovoltaic panels due to market oversupply, significant reduction in the prices of storage systems with batteries, etc.).</w:t>
      </w:r>
    </w:p>
    <w:p w14:paraId="40A24696" w14:textId="7716F71B" w:rsidR="00A87AF1" w:rsidRDefault="00A87AF1" w:rsidP="00A87AF1">
      <w:pPr>
        <w:pStyle w:val="Descripcin"/>
        <w:keepNext/>
        <w:jc w:val="center"/>
      </w:pPr>
      <w:r w:rsidRPr="0078492E">
        <w:rPr>
          <w:noProof/>
        </w:rPr>
        <w:drawing>
          <wp:anchor distT="0" distB="0" distL="114300" distR="114300" simplePos="0" relativeHeight="251661312" behindDoc="1" locked="0" layoutInCell="1" allowOverlap="1" wp14:anchorId="2AD38714" wp14:editId="5A53E6C5">
            <wp:simplePos x="0" y="0"/>
            <wp:positionH relativeFrom="margin">
              <wp:align>center</wp:align>
            </wp:positionH>
            <wp:positionV relativeFrom="paragraph">
              <wp:posOffset>216535</wp:posOffset>
            </wp:positionV>
            <wp:extent cx="6134100" cy="2362200"/>
            <wp:effectExtent l="0" t="0" r="0" b="0"/>
            <wp:wrapTight wrapText="bothSides">
              <wp:wrapPolygon edited="0">
                <wp:start x="2348" y="174"/>
                <wp:lineTo x="0" y="3310"/>
                <wp:lineTo x="0" y="21426"/>
                <wp:lineTo x="134" y="21426"/>
                <wp:lineTo x="5769" y="21077"/>
                <wp:lineTo x="5769" y="20206"/>
                <wp:lineTo x="21533" y="20032"/>
                <wp:lineTo x="21533" y="12194"/>
                <wp:lineTo x="21063" y="11671"/>
                <wp:lineTo x="21533" y="10800"/>
                <wp:lineTo x="21533" y="3310"/>
                <wp:lineTo x="19118" y="174"/>
                <wp:lineTo x="2348" y="174"/>
              </wp:wrapPolygon>
            </wp:wrapTight>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34100" cy="2362200"/>
                    </a:xfrm>
                    <a:prstGeom prst="rect">
                      <a:avLst/>
                    </a:prstGeom>
                    <a:noFill/>
                    <a:ln>
                      <a:noFill/>
                    </a:ln>
                  </pic:spPr>
                </pic:pic>
              </a:graphicData>
            </a:graphic>
          </wp:anchor>
        </w:drawing>
      </w:r>
      <w:r w:rsidRPr="00A87AF1">
        <w:rPr>
          <w:b/>
          <w:bCs/>
        </w:rPr>
        <w:t xml:space="preserve">Table </w:t>
      </w:r>
      <w:r w:rsidRPr="00A87AF1">
        <w:rPr>
          <w:b/>
          <w:bCs/>
        </w:rPr>
        <w:fldChar w:fldCharType="begin"/>
      </w:r>
      <w:r w:rsidRPr="00A87AF1">
        <w:rPr>
          <w:b/>
          <w:bCs/>
        </w:rPr>
        <w:instrText xml:space="preserve"> SEQ Table \* ARABIC </w:instrText>
      </w:r>
      <w:r w:rsidRPr="00A87AF1">
        <w:rPr>
          <w:b/>
          <w:bCs/>
        </w:rPr>
        <w:fldChar w:fldCharType="separate"/>
      </w:r>
      <w:r w:rsidR="00D054D0">
        <w:rPr>
          <w:b/>
          <w:bCs/>
          <w:noProof/>
        </w:rPr>
        <w:t>15</w:t>
      </w:r>
      <w:r w:rsidRPr="00A87AF1">
        <w:rPr>
          <w:b/>
          <w:bCs/>
        </w:rPr>
        <w:fldChar w:fldCharType="end"/>
      </w:r>
      <w:r w:rsidRPr="00A87AF1">
        <w:rPr>
          <w:b/>
          <w:bCs/>
        </w:rPr>
        <w:t>.</w:t>
      </w:r>
      <w:r>
        <w:t xml:space="preserve"> </w:t>
      </w:r>
      <w:r w:rsidRPr="00D97865">
        <w:t>Planned Additions per Technology and Country, 2020-2030</w:t>
      </w:r>
    </w:p>
    <w:p w14:paraId="4AC5EB76" w14:textId="5FC8ED41" w:rsidR="00A87AF1" w:rsidRPr="00A87AF1" w:rsidRDefault="00A87AF1" w:rsidP="00A87AF1">
      <w:pPr>
        <w:spacing w:after="0"/>
        <w:rPr>
          <w:i/>
          <w:iCs/>
          <w:sz w:val="16"/>
          <w:szCs w:val="16"/>
        </w:rPr>
      </w:pPr>
      <w:r>
        <w:rPr>
          <w:b/>
          <w:bCs/>
          <w:i/>
          <w:iCs/>
          <w:sz w:val="16"/>
          <w:szCs w:val="16"/>
        </w:rPr>
        <w:br/>
      </w:r>
      <w:r w:rsidRPr="00A87AF1">
        <w:rPr>
          <w:b/>
          <w:bCs/>
          <w:i/>
          <w:iCs/>
          <w:sz w:val="16"/>
          <w:szCs w:val="16"/>
        </w:rPr>
        <w:t xml:space="preserve">Sources: </w:t>
      </w:r>
      <w:r w:rsidRPr="00A87AF1">
        <w:rPr>
          <w:i/>
          <w:iCs/>
          <w:sz w:val="16"/>
          <w:szCs w:val="16"/>
        </w:rPr>
        <w:t>Guatemala: Generation and transportation system expansion plan 2020-2034. PMMS42 scenario.</w:t>
      </w:r>
    </w:p>
    <w:p w14:paraId="25E6F9B1" w14:textId="77777777" w:rsidR="00A87AF1" w:rsidRPr="00A87AF1" w:rsidRDefault="00A87AF1" w:rsidP="00A87AF1">
      <w:pPr>
        <w:spacing w:after="0"/>
        <w:rPr>
          <w:i/>
          <w:iCs/>
          <w:sz w:val="16"/>
          <w:szCs w:val="16"/>
        </w:rPr>
      </w:pPr>
      <w:r w:rsidRPr="00A87AF1">
        <w:rPr>
          <w:i/>
          <w:iCs/>
          <w:sz w:val="16"/>
          <w:szCs w:val="16"/>
        </w:rPr>
        <w:t xml:space="preserve">Costa Rica: Electricity generation expansion plan 2018–2033. </w:t>
      </w:r>
      <w:r w:rsidRPr="00A87AF1">
        <w:rPr>
          <w:i/>
          <w:iCs/>
          <w:sz w:val="16"/>
          <w:szCs w:val="16"/>
        </w:rPr>
        <w:tab/>
      </w:r>
      <w:r w:rsidRPr="00A87AF1">
        <w:rPr>
          <w:i/>
          <w:iCs/>
          <w:sz w:val="16"/>
          <w:szCs w:val="16"/>
        </w:rPr>
        <w:tab/>
      </w:r>
      <w:r w:rsidRPr="00A87AF1">
        <w:rPr>
          <w:i/>
          <w:iCs/>
          <w:sz w:val="16"/>
          <w:szCs w:val="16"/>
        </w:rPr>
        <w:tab/>
      </w:r>
      <w:r w:rsidRPr="00A87AF1">
        <w:rPr>
          <w:i/>
          <w:iCs/>
          <w:sz w:val="16"/>
          <w:szCs w:val="16"/>
        </w:rPr>
        <w:tab/>
      </w:r>
      <w:r w:rsidRPr="00A87AF1">
        <w:rPr>
          <w:i/>
          <w:iCs/>
          <w:sz w:val="16"/>
          <w:szCs w:val="16"/>
        </w:rPr>
        <w:tab/>
      </w:r>
    </w:p>
    <w:p w14:paraId="2905BD64" w14:textId="77777777" w:rsidR="00A87AF1" w:rsidRPr="00A87AF1" w:rsidRDefault="00A87AF1" w:rsidP="00A87AF1">
      <w:pPr>
        <w:spacing w:after="0"/>
        <w:rPr>
          <w:i/>
          <w:iCs/>
          <w:sz w:val="16"/>
          <w:szCs w:val="16"/>
        </w:rPr>
      </w:pPr>
      <w:r w:rsidRPr="00A87AF1">
        <w:rPr>
          <w:i/>
          <w:iCs/>
          <w:sz w:val="16"/>
          <w:szCs w:val="16"/>
        </w:rPr>
        <w:t>El Salvador: Indicative plan for the expansion of electricity generation in El Salvador 2019-2028. High scenario plus other non-mandatory capacity additions.</w:t>
      </w:r>
    </w:p>
    <w:p w14:paraId="5C3F60BF" w14:textId="06B7ADCD" w:rsidR="00A87AF1" w:rsidRPr="00A87AF1" w:rsidRDefault="00A87AF1" w:rsidP="00A87AF1">
      <w:pPr>
        <w:spacing w:after="0"/>
        <w:rPr>
          <w:i/>
          <w:iCs/>
          <w:sz w:val="16"/>
          <w:szCs w:val="16"/>
        </w:rPr>
      </w:pPr>
      <w:r w:rsidRPr="00A87AF1">
        <w:rPr>
          <w:i/>
          <w:iCs/>
          <w:sz w:val="16"/>
          <w:szCs w:val="16"/>
        </w:rPr>
        <w:t>Honduras: Indicative plan for the generation expansion of the interconnected national system 2020-2029. Scenario 3.</w:t>
      </w:r>
    </w:p>
    <w:p w14:paraId="066F5ACE" w14:textId="77777777" w:rsidR="00A87AF1" w:rsidRPr="00A87AF1" w:rsidRDefault="00A87AF1" w:rsidP="00A87AF1">
      <w:pPr>
        <w:spacing w:after="0"/>
        <w:rPr>
          <w:i/>
          <w:iCs/>
          <w:sz w:val="16"/>
          <w:szCs w:val="16"/>
        </w:rPr>
      </w:pPr>
      <w:r w:rsidRPr="00A87AF1">
        <w:rPr>
          <w:i/>
          <w:iCs/>
          <w:sz w:val="16"/>
          <w:szCs w:val="16"/>
        </w:rPr>
        <w:t>Nicaragua: Electricity generation expansion plan 2019 – 2033. The baseline scenario was used.</w:t>
      </w:r>
    </w:p>
    <w:p w14:paraId="78FB3506" w14:textId="77777777" w:rsidR="00A87AF1" w:rsidRPr="00A87AF1" w:rsidRDefault="00A87AF1" w:rsidP="00A87AF1">
      <w:pPr>
        <w:spacing w:after="0"/>
        <w:rPr>
          <w:i/>
          <w:iCs/>
          <w:sz w:val="16"/>
          <w:szCs w:val="16"/>
        </w:rPr>
      </w:pPr>
      <w:r w:rsidRPr="00A87AF1">
        <w:rPr>
          <w:i/>
          <w:iCs/>
          <w:sz w:val="16"/>
          <w:szCs w:val="16"/>
        </w:rPr>
        <w:t>Panamá: The expansion plan of the National interconnected system 2018 – 2032. Alternate scenario.</w:t>
      </w:r>
    </w:p>
    <w:p w14:paraId="582E1D1E" w14:textId="77777777" w:rsidR="00A87AF1" w:rsidRDefault="00A87AF1" w:rsidP="00A87AF1">
      <w:pPr>
        <w:rPr>
          <w:szCs w:val="20"/>
        </w:rPr>
      </w:pPr>
    </w:p>
    <w:p w14:paraId="7C1FDE23" w14:textId="66562DEB" w:rsidR="00A87AF1" w:rsidRDefault="001865FC" w:rsidP="00A87AF1">
      <w:pPr>
        <w:rPr>
          <w:szCs w:val="20"/>
        </w:rPr>
      </w:pPr>
      <w:r>
        <w:rPr>
          <w:szCs w:val="20"/>
        </w:rPr>
        <w:t>There is a</w:t>
      </w:r>
      <w:r w:rsidR="00A87AF1" w:rsidRPr="00D6104B">
        <w:rPr>
          <w:szCs w:val="20"/>
        </w:rPr>
        <w:t xml:space="preserve"> strong growth planned </w:t>
      </w:r>
      <w:r>
        <w:rPr>
          <w:szCs w:val="20"/>
        </w:rPr>
        <w:t xml:space="preserve">for </w:t>
      </w:r>
      <w:r w:rsidR="00A87AF1" w:rsidRPr="00D6104B">
        <w:rPr>
          <w:szCs w:val="20"/>
        </w:rPr>
        <w:t xml:space="preserve">thermal systems, mainly natural gas, especially in Guatemala, Honduras, and El Salvador. Thermal </w:t>
      </w:r>
      <w:r w:rsidR="00A87AF1">
        <w:rPr>
          <w:szCs w:val="20"/>
        </w:rPr>
        <w:t>increase</w:t>
      </w:r>
      <w:r w:rsidR="00A87AF1" w:rsidRPr="00D6104B">
        <w:rPr>
          <w:szCs w:val="20"/>
        </w:rPr>
        <w:t xml:space="preserve"> is also significant in Nicaragua, considering its size proportional to that of other technologies. This, as pointed out by some of the stakeholders consulted, shows a return of the region towards fossil fuels, caused by the following factors:</w:t>
      </w:r>
    </w:p>
    <w:p w14:paraId="6D99E78A" w14:textId="77777777" w:rsidR="00A87AF1" w:rsidRPr="00D6104B" w:rsidRDefault="00A87AF1" w:rsidP="00A87AF1">
      <w:pPr>
        <w:pStyle w:val="Prrafodelista"/>
        <w:numPr>
          <w:ilvl w:val="0"/>
          <w:numId w:val="40"/>
        </w:numPr>
        <w:spacing w:after="160" w:line="259" w:lineRule="auto"/>
      </w:pPr>
      <w:r>
        <w:t>A</w:t>
      </w:r>
      <w:r w:rsidRPr="00D6104B">
        <w:t xml:space="preserve">bundance </w:t>
      </w:r>
      <w:r>
        <w:t xml:space="preserve">of </w:t>
      </w:r>
      <w:r w:rsidRPr="00D6104B">
        <w:t>natural gas in the international market (although all countries in the region are net importers) and</w:t>
      </w:r>
      <w:r>
        <w:t xml:space="preserve"> its</w:t>
      </w:r>
      <w:r w:rsidRPr="00D6104B">
        <w:t xml:space="preserve"> relative low cost, which Panama has already introduced.</w:t>
      </w:r>
    </w:p>
    <w:p w14:paraId="445478AB" w14:textId="22A7D256" w:rsidR="00A87AF1" w:rsidRPr="00D6104B" w:rsidRDefault="00A87AF1" w:rsidP="00A87AF1">
      <w:pPr>
        <w:pStyle w:val="Prrafodelista"/>
        <w:numPr>
          <w:ilvl w:val="0"/>
          <w:numId w:val="40"/>
        </w:numPr>
        <w:spacing w:after="160" w:line="259" w:lineRule="auto"/>
      </w:pPr>
      <w:r w:rsidRPr="00D6104B">
        <w:t>The increasing difficulties to develop medium</w:t>
      </w:r>
      <w:r>
        <w:t>-size</w:t>
      </w:r>
      <w:r w:rsidRPr="00D6104B">
        <w:t xml:space="preserve"> hydroelectric projects (10-50 MW) and large</w:t>
      </w:r>
      <w:r>
        <w:t>-size ones</w:t>
      </w:r>
      <w:r w:rsidRPr="00D6104B">
        <w:t xml:space="preserve"> (50-100 MW or more) in the region, mainly because the best sites have already been developed and because those that </w:t>
      </w:r>
      <w:r>
        <w:t>remain</w:t>
      </w:r>
      <w:r w:rsidRPr="00D6104B">
        <w:t xml:space="preserve"> face strong environmental or social</w:t>
      </w:r>
      <w:r>
        <w:t xml:space="preserve"> criticism</w:t>
      </w:r>
      <w:r w:rsidRPr="00D6104B">
        <w:t xml:space="preserve"> (impact on protected areas, indigenous or </w:t>
      </w:r>
      <w:r w:rsidR="004246AC">
        <w:t xml:space="preserve">rural </w:t>
      </w:r>
      <w:r w:rsidRPr="00D6104B">
        <w:t>communities, etc).</w:t>
      </w:r>
    </w:p>
    <w:p w14:paraId="77A6025F" w14:textId="77777777" w:rsidR="00A87AF1" w:rsidRPr="00D6104B" w:rsidRDefault="00A87AF1" w:rsidP="00A87AF1">
      <w:pPr>
        <w:pStyle w:val="Prrafodelista"/>
        <w:numPr>
          <w:ilvl w:val="0"/>
          <w:numId w:val="40"/>
        </w:numPr>
        <w:spacing w:after="160" w:line="259" w:lineRule="auto"/>
      </w:pPr>
      <w:r w:rsidRPr="00D6104B">
        <w:t>The need to strongly support the increasing investments in solar and wind plants, due to their intermittent nature.</w:t>
      </w:r>
    </w:p>
    <w:p w14:paraId="36B5F6F1" w14:textId="77777777" w:rsidR="00A87AF1" w:rsidRPr="00D6104B" w:rsidRDefault="00A87AF1" w:rsidP="00A87AF1">
      <w:pPr>
        <w:pStyle w:val="Prrafodelista"/>
        <w:numPr>
          <w:ilvl w:val="0"/>
          <w:numId w:val="40"/>
        </w:numPr>
        <w:spacing w:after="160" w:line="259" w:lineRule="auto"/>
      </w:pPr>
      <w:r w:rsidRPr="00D6104B">
        <w:t>The environmental limitations and high costs of exploration and development of high enthalpy geothermal energy since they are mainly found within or in areas close to protected areas (volcano peaks).</w:t>
      </w:r>
    </w:p>
    <w:p w14:paraId="7DCF3BE9" w14:textId="4F9F3318" w:rsidR="00A87AF1" w:rsidRPr="00D6104B" w:rsidRDefault="00A87AF1" w:rsidP="00A87AF1">
      <w:pPr>
        <w:pStyle w:val="Prrafodelista"/>
        <w:numPr>
          <w:ilvl w:val="0"/>
          <w:numId w:val="40"/>
        </w:numPr>
        <w:spacing w:after="160" w:line="259" w:lineRule="auto"/>
      </w:pPr>
      <w:r w:rsidRPr="00D6104B">
        <w:t xml:space="preserve">The oversupply of energy </w:t>
      </w:r>
      <w:r>
        <w:t xml:space="preserve">experienced </w:t>
      </w:r>
      <w:r w:rsidRPr="00D6104B">
        <w:t>by some countries, such as Guatemala and Costa Rica. Thermal plants allow to acquir</w:t>
      </w:r>
      <w:r w:rsidR="004246AC">
        <w:t>e</w:t>
      </w:r>
      <w:r w:rsidRPr="00D6104B">
        <w:t xml:space="preserve"> energy with little anticipation of its use, being able to adjust along the way.</w:t>
      </w:r>
    </w:p>
    <w:p w14:paraId="123A5AF9" w14:textId="25F8E66D" w:rsidR="00A87AF1" w:rsidRPr="00D6104B" w:rsidRDefault="00A87AF1" w:rsidP="00A87AF1">
      <w:pPr>
        <w:rPr>
          <w:szCs w:val="20"/>
        </w:rPr>
      </w:pPr>
      <w:r w:rsidRPr="00D6104B">
        <w:rPr>
          <w:szCs w:val="20"/>
        </w:rPr>
        <w:t xml:space="preserve">With the sole exception of Costa Rica, the next years will see an increase in the presence of natural gas in Central America, although its participation could help intermittent technologies such as wind and solar also have greater </w:t>
      </w:r>
      <w:r w:rsidR="004246AC">
        <w:rPr>
          <w:szCs w:val="20"/>
        </w:rPr>
        <w:t>entrenchment</w:t>
      </w:r>
      <w:r w:rsidRPr="00D6104B">
        <w:rPr>
          <w:szCs w:val="20"/>
        </w:rPr>
        <w:t>.</w:t>
      </w:r>
    </w:p>
    <w:p w14:paraId="63C0C9B6" w14:textId="77777777" w:rsidR="00A87AF1" w:rsidRDefault="00A87AF1" w:rsidP="00A87AF1">
      <w:pPr>
        <w:rPr>
          <w:szCs w:val="20"/>
        </w:rPr>
      </w:pPr>
      <w:r w:rsidRPr="00D6104B">
        <w:rPr>
          <w:szCs w:val="20"/>
        </w:rPr>
        <w:t xml:space="preserve">Considering the information on the capacity additions planned for the 2020-2030 shown in the previous table, and the list of prioritized niches in section 4.2. </w:t>
      </w:r>
      <w:r>
        <w:rPr>
          <w:szCs w:val="20"/>
        </w:rPr>
        <w:t>of</w:t>
      </w:r>
      <w:r w:rsidRPr="00D6104B">
        <w:rPr>
          <w:szCs w:val="20"/>
        </w:rPr>
        <w:t xml:space="preserve"> this report, some magnitudes of investment required for these niches could be estimated.</w:t>
      </w:r>
    </w:p>
    <w:p w14:paraId="7607415A" w14:textId="53FBB698" w:rsidR="00A87AF1" w:rsidRDefault="00A87AF1" w:rsidP="00A87AF1">
      <w:pPr>
        <w:rPr>
          <w:szCs w:val="20"/>
        </w:rPr>
      </w:pPr>
      <w:r w:rsidRPr="00E525A6">
        <w:rPr>
          <w:b/>
          <w:bCs/>
          <w:szCs w:val="20"/>
        </w:rPr>
        <w:t>a.1. Solar Photovoltaic connected to the grid and for distributed generation.</w:t>
      </w:r>
      <w:r w:rsidRPr="00E525A6">
        <w:rPr>
          <w:szCs w:val="20"/>
        </w:rPr>
        <w:t xml:space="preserve"> The expected growth according to the Energy Plans consulted, show</w:t>
      </w:r>
      <w:r>
        <w:rPr>
          <w:szCs w:val="20"/>
        </w:rPr>
        <w:t>s</w:t>
      </w:r>
      <w:r w:rsidRPr="00E525A6">
        <w:rPr>
          <w:szCs w:val="20"/>
        </w:rPr>
        <w:t xml:space="preserve"> 960 MW of additional capacity in this decade, only to be connected to the networks (without considering distributed generation). However, if it is possible to incorporate backup energy of firm power (natural gas, as it seems to be </w:t>
      </w:r>
      <w:r w:rsidR="004246AC">
        <w:rPr>
          <w:szCs w:val="20"/>
        </w:rPr>
        <w:t>the case</w:t>
      </w:r>
      <w:r w:rsidRPr="00E525A6">
        <w:rPr>
          <w:szCs w:val="20"/>
        </w:rPr>
        <w:t xml:space="preserve">, and geothermal to a lesser extent), and there are significant advances in the costs of large storage in batteries, it is possible that this figure </w:t>
      </w:r>
      <w:r>
        <w:rPr>
          <w:szCs w:val="20"/>
        </w:rPr>
        <w:t>is underestimated</w:t>
      </w:r>
      <w:r w:rsidRPr="00E525A6">
        <w:rPr>
          <w:szCs w:val="20"/>
        </w:rPr>
        <w:t xml:space="preserve">. There is also a lot of political pressure for new policies and regulations for distributed </w:t>
      </w:r>
      <w:r w:rsidR="004246AC">
        <w:rPr>
          <w:szCs w:val="20"/>
        </w:rPr>
        <w:t>production</w:t>
      </w:r>
      <w:r w:rsidRPr="00E525A6">
        <w:rPr>
          <w:szCs w:val="20"/>
        </w:rPr>
        <w:t xml:space="preserve">, where solar technology is an important player. Therefore, it could be ensured that at least </w:t>
      </w:r>
      <w:r w:rsidRPr="00E525A6">
        <w:rPr>
          <w:b/>
          <w:bCs/>
          <w:szCs w:val="20"/>
        </w:rPr>
        <w:t>1,000 solar MW</w:t>
      </w:r>
      <w:r w:rsidRPr="00E525A6">
        <w:rPr>
          <w:szCs w:val="20"/>
        </w:rPr>
        <w:t xml:space="preserve"> will be added to the Central American market </w:t>
      </w:r>
      <w:r w:rsidR="004246AC">
        <w:rPr>
          <w:szCs w:val="20"/>
        </w:rPr>
        <w:t>throughout</w:t>
      </w:r>
      <w:r w:rsidRPr="00E525A6">
        <w:rPr>
          <w:szCs w:val="20"/>
        </w:rPr>
        <w:t xml:space="preserve"> this period. According to data from IRENA</w:t>
      </w:r>
      <w:r>
        <w:rPr>
          <w:rStyle w:val="Refdenotaalpie"/>
          <w:szCs w:val="20"/>
        </w:rPr>
        <w:footnoteReference w:id="17"/>
      </w:r>
      <w:r w:rsidRPr="00E525A6">
        <w:rPr>
          <w:szCs w:val="20"/>
        </w:rPr>
        <w:t>, updated as of 2020, the total installed costs for solar photovoltaics fluctuates depending on the specific market. The closest reference to Central America</w:t>
      </w:r>
      <w:r>
        <w:rPr>
          <w:szCs w:val="20"/>
        </w:rPr>
        <w:t xml:space="preserve"> mentioned by IRENA</w:t>
      </w:r>
      <w:r w:rsidRPr="00E525A6">
        <w:rPr>
          <w:szCs w:val="20"/>
        </w:rPr>
        <w:t xml:space="preserve"> is Mexico, where the total installed cost for utility-scale solar PV is USD 866/kW (residential and commercial rooftops for distributed generation would be higher because of their smaller scale). Therefore, without including distributed generation, the estimated investment in Solar PV would be </w:t>
      </w:r>
      <w:r w:rsidRPr="00E525A6">
        <w:rPr>
          <w:b/>
          <w:bCs/>
          <w:szCs w:val="20"/>
        </w:rPr>
        <w:t>USD 866 MM</w:t>
      </w:r>
      <w:r w:rsidRPr="00E525A6">
        <w:rPr>
          <w:szCs w:val="20"/>
        </w:rPr>
        <w:t>.</w:t>
      </w:r>
    </w:p>
    <w:p w14:paraId="0F630BAA" w14:textId="11D7E973" w:rsidR="00A87AF1" w:rsidRPr="00D6104B" w:rsidRDefault="00A87AF1" w:rsidP="00A87AF1">
      <w:pPr>
        <w:rPr>
          <w:szCs w:val="20"/>
        </w:rPr>
      </w:pPr>
      <w:r w:rsidRPr="00E525A6">
        <w:rPr>
          <w:b/>
          <w:bCs/>
          <w:szCs w:val="20"/>
        </w:rPr>
        <w:t>a.2. Thermo-solar for water heating.</w:t>
      </w:r>
      <w:r w:rsidRPr="00E525A6">
        <w:rPr>
          <w:szCs w:val="20"/>
        </w:rPr>
        <w:t xml:space="preserve"> Information was obtained for the Costa Rican market</w:t>
      </w:r>
      <w:r w:rsidR="004246AC">
        <w:rPr>
          <w:szCs w:val="20"/>
        </w:rPr>
        <w:t xml:space="preserve"> where</w:t>
      </w:r>
      <w:r w:rsidRPr="00E525A6">
        <w:rPr>
          <w:szCs w:val="20"/>
        </w:rPr>
        <w:t xml:space="preserve"> a strong potential is identified in the residential sector, where 50% of homes already have domestic hot water, using electricity. Apart from the migration of a part of this market towards hybrid systems (solar backed with electricity), there is potential for solar thermal installations in new homes of the medium-high and high socioeconomic groups. It is essential to reach agreements with real estate development companies, so that they consider this technology from the beginning. In the case of solar water heating technology for industries and businesses, the applications with the greatest potential are those that can provide the needs of hot water to eliminate the use of boilers for hot water and low-pressure steam, which is carried out currently on electricity or diesel. There is potential to increase the installed area from 17,580 m2 (2017) to 108,707 m2 (2030), with an approximate investment of USD 56.8 MM. With this reference amount, it could be assumed that the total solar thermal potential for all Central American countries could be around </w:t>
      </w:r>
      <w:r w:rsidRPr="00027E89">
        <w:rPr>
          <w:b/>
          <w:bCs/>
          <w:szCs w:val="20"/>
        </w:rPr>
        <w:t>USD 200 MM</w:t>
      </w:r>
      <w:r w:rsidRPr="00E525A6">
        <w:rPr>
          <w:szCs w:val="20"/>
        </w:rPr>
        <w:t>.</w:t>
      </w:r>
    </w:p>
    <w:p w14:paraId="65C336DF" w14:textId="77777777" w:rsidR="00A87AF1" w:rsidRDefault="00A87AF1" w:rsidP="00A87AF1">
      <w:pPr>
        <w:rPr>
          <w:szCs w:val="20"/>
        </w:rPr>
      </w:pPr>
      <w:r w:rsidRPr="009A3AAD">
        <w:rPr>
          <w:b/>
          <w:bCs/>
          <w:szCs w:val="20"/>
        </w:rPr>
        <w:t>b. Wind energy connected to the grid.</w:t>
      </w:r>
      <w:r w:rsidRPr="00623D07">
        <w:rPr>
          <w:szCs w:val="20"/>
        </w:rPr>
        <w:t xml:space="preserve"> </w:t>
      </w:r>
      <w:r>
        <w:rPr>
          <w:szCs w:val="20"/>
        </w:rPr>
        <w:t xml:space="preserve">The total planned capacity increment is 847 MW.  Using IRENA´s 2020 </w:t>
      </w:r>
      <w:r w:rsidRPr="002977C2">
        <w:rPr>
          <w:szCs w:val="20"/>
        </w:rPr>
        <w:t>t</w:t>
      </w:r>
      <w:r>
        <w:rPr>
          <w:szCs w:val="20"/>
        </w:rPr>
        <w:t xml:space="preserve">otal installed costs figure for this technology (USD 2,062/kW in Central America and the Caribbean), this would represent </w:t>
      </w:r>
      <w:r w:rsidRPr="00D824ED">
        <w:rPr>
          <w:b/>
          <w:bCs/>
          <w:szCs w:val="20"/>
        </w:rPr>
        <w:t>USD 1,747 MM</w:t>
      </w:r>
      <w:r>
        <w:rPr>
          <w:szCs w:val="20"/>
        </w:rPr>
        <w:t xml:space="preserve"> for this decade.  No consideration is made to offshore wind, because of the lack of data and interest at this time in the region.</w:t>
      </w:r>
    </w:p>
    <w:p w14:paraId="0D1CF91C" w14:textId="77777777" w:rsidR="00A87AF1" w:rsidRDefault="00A87AF1" w:rsidP="00A87AF1">
      <w:pPr>
        <w:rPr>
          <w:szCs w:val="20"/>
        </w:rPr>
      </w:pPr>
      <w:r w:rsidRPr="006D7865">
        <w:rPr>
          <w:b/>
          <w:bCs/>
          <w:szCs w:val="20"/>
        </w:rPr>
        <w:t xml:space="preserve">c. High-capacity deep-cycle battery storage. </w:t>
      </w:r>
      <w:r>
        <w:rPr>
          <w:b/>
          <w:bCs/>
          <w:szCs w:val="20"/>
        </w:rPr>
        <w:t xml:space="preserve"> </w:t>
      </w:r>
      <w:r>
        <w:rPr>
          <w:szCs w:val="20"/>
        </w:rPr>
        <w:t>There is no quantitative information available on market potential for this technology yet. Its prioritization has been based on qualitative opinions from RE stakeholders.</w:t>
      </w:r>
    </w:p>
    <w:p w14:paraId="2B8D5075" w14:textId="5B0773F2" w:rsidR="00A87AF1" w:rsidRPr="00D62D89" w:rsidRDefault="00A87AF1" w:rsidP="00A87AF1">
      <w:pPr>
        <w:rPr>
          <w:szCs w:val="20"/>
        </w:rPr>
      </w:pPr>
      <w:r w:rsidRPr="00D62D89">
        <w:rPr>
          <w:b/>
          <w:bCs/>
          <w:szCs w:val="20"/>
        </w:rPr>
        <w:t xml:space="preserve">d. Hydro plants. </w:t>
      </w:r>
      <w:r w:rsidRPr="00D62D89">
        <w:rPr>
          <w:szCs w:val="20"/>
        </w:rPr>
        <w:t xml:space="preserve"> </w:t>
      </w:r>
      <w:r w:rsidRPr="007C3F57">
        <w:rPr>
          <w:szCs w:val="20"/>
        </w:rPr>
        <w:t xml:space="preserve">Although the Energy Plans of the different countries </w:t>
      </w:r>
      <w:r>
        <w:rPr>
          <w:szCs w:val="20"/>
        </w:rPr>
        <w:t>estimate</w:t>
      </w:r>
      <w:r w:rsidRPr="007C3F57">
        <w:rPr>
          <w:szCs w:val="20"/>
        </w:rPr>
        <w:t xml:space="preserve"> an increase of 1,330 MW for this decade, the experts consulted believe that this figure is outdated due to the </w:t>
      </w:r>
      <w:r>
        <w:rPr>
          <w:szCs w:val="20"/>
        </w:rPr>
        <w:t xml:space="preserve">lag </w:t>
      </w:r>
      <w:r w:rsidRPr="007C3F57">
        <w:rPr>
          <w:szCs w:val="20"/>
        </w:rPr>
        <w:t xml:space="preserve">of these plans with respect to the reality of the market, and that surely much less capacity will be installed than </w:t>
      </w:r>
      <w:r w:rsidR="004246AC">
        <w:rPr>
          <w:szCs w:val="20"/>
        </w:rPr>
        <w:t>what is forecasted</w:t>
      </w:r>
      <w:r w:rsidRPr="007C3F57">
        <w:rPr>
          <w:szCs w:val="20"/>
        </w:rPr>
        <w:t>. Medium and large hydroelectric plants, apart from the environmental and social difficulties, face lengthy study and approval processes</w:t>
      </w:r>
      <w:r w:rsidR="004246AC">
        <w:rPr>
          <w:szCs w:val="20"/>
        </w:rPr>
        <w:t xml:space="preserve"> along with </w:t>
      </w:r>
      <w:r w:rsidRPr="007C3F57">
        <w:rPr>
          <w:szCs w:val="20"/>
        </w:rPr>
        <w:t>great risks due to climate change. The best opportunities are for small plants (10 MW or similar</w:t>
      </w:r>
      <w:r>
        <w:rPr>
          <w:szCs w:val="20"/>
        </w:rPr>
        <w:t xml:space="preserve"> size</w:t>
      </w:r>
      <w:r w:rsidRPr="007C3F57">
        <w:rPr>
          <w:szCs w:val="20"/>
        </w:rPr>
        <w:t xml:space="preserve">) that are often not even </w:t>
      </w:r>
      <w:r w:rsidR="004246AC">
        <w:rPr>
          <w:szCs w:val="20"/>
        </w:rPr>
        <w:t>considered</w:t>
      </w:r>
      <w:r w:rsidRPr="007C3F57">
        <w:rPr>
          <w:szCs w:val="20"/>
        </w:rPr>
        <w:t xml:space="preserve"> in the Energy Plans and their corresponding expansion plans. However, this technology cannot be completely ruled out when estimating the market potential, so a total of </w:t>
      </w:r>
      <w:r w:rsidRPr="007C3F57">
        <w:rPr>
          <w:b/>
          <w:bCs/>
          <w:szCs w:val="20"/>
        </w:rPr>
        <w:t>800 MW</w:t>
      </w:r>
      <w:r w:rsidRPr="007C3F57">
        <w:rPr>
          <w:szCs w:val="20"/>
        </w:rPr>
        <w:t xml:space="preserve"> is assumed for this decade, which is at the total cost of installation based on IRENA references for projects in Central America and the Caribbean. (USD 3,500 / kW), </w:t>
      </w:r>
      <w:r w:rsidRPr="00DB1D82">
        <w:rPr>
          <w:szCs w:val="20"/>
        </w:rPr>
        <w:t xml:space="preserve">implies an investment amount of </w:t>
      </w:r>
      <w:r w:rsidRPr="00F12261">
        <w:rPr>
          <w:b/>
          <w:bCs/>
          <w:szCs w:val="20"/>
        </w:rPr>
        <w:t>USD 2,800 MM</w:t>
      </w:r>
      <w:r>
        <w:rPr>
          <w:szCs w:val="20"/>
        </w:rPr>
        <w:t>.</w:t>
      </w:r>
    </w:p>
    <w:p w14:paraId="67547590" w14:textId="77777777" w:rsidR="00A87AF1" w:rsidRDefault="00A87AF1" w:rsidP="00A87AF1">
      <w:pPr>
        <w:rPr>
          <w:szCs w:val="20"/>
        </w:rPr>
      </w:pPr>
      <w:r w:rsidRPr="00F631BB">
        <w:rPr>
          <w:b/>
          <w:bCs/>
          <w:szCs w:val="20"/>
        </w:rPr>
        <w:t>e. Low enthalpy geothermal energy.</w:t>
      </w:r>
      <w:r>
        <w:rPr>
          <w:szCs w:val="20"/>
        </w:rPr>
        <w:t xml:space="preserve">  There is no data available, since it is a technology that is just starting to be considered in Central America.</w:t>
      </w:r>
    </w:p>
    <w:p w14:paraId="2E2F0615" w14:textId="77777777" w:rsidR="00A87AF1" w:rsidRDefault="00A87AF1" w:rsidP="00A87AF1">
      <w:pPr>
        <w:rPr>
          <w:szCs w:val="20"/>
        </w:rPr>
      </w:pPr>
      <w:r w:rsidRPr="00BD536F">
        <w:rPr>
          <w:b/>
          <w:bCs/>
          <w:szCs w:val="20"/>
        </w:rPr>
        <w:t>f. Bio</w:t>
      </w:r>
      <w:r>
        <w:rPr>
          <w:b/>
          <w:bCs/>
          <w:szCs w:val="20"/>
        </w:rPr>
        <w:t>energy</w:t>
      </w:r>
      <w:r w:rsidRPr="00BD536F">
        <w:rPr>
          <w:b/>
          <w:bCs/>
          <w:szCs w:val="20"/>
        </w:rPr>
        <w:t xml:space="preserve"> plants for </w:t>
      </w:r>
      <w:r>
        <w:rPr>
          <w:b/>
          <w:bCs/>
          <w:szCs w:val="20"/>
        </w:rPr>
        <w:t>thermal uses in</w:t>
      </w:r>
      <w:r w:rsidRPr="00BD536F">
        <w:rPr>
          <w:b/>
          <w:bCs/>
          <w:szCs w:val="20"/>
        </w:rPr>
        <w:t xml:space="preserve"> </w:t>
      </w:r>
      <w:r>
        <w:rPr>
          <w:b/>
          <w:bCs/>
          <w:szCs w:val="20"/>
        </w:rPr>
        <w:t>the industry sector</w:t>
      </w:r>
      <w:r>
        <w:rPr>
          <w:szCs w:val="20"/>
        </w:rPr>
        <w:t xml:space="preserve">. </w:t>
      </w:r>
      <w:r w:rsidRPr="007C3F57">
        <w:rPr>
          <w:szCs w:val="20"/>
        </w:rPr>
        <w:t>There is not enough information about this potential market. However, a study carried out in Costa Rica indicates a potential of USD 235 MM in this country, to finance boiler equipment in the industrial sector, biodigesters and equipment for the treatment and preparation of biomass.</w:t>
      </w:r>
      <w:r>
        <w:rPr>
          <w:szCs w:val="20"/>
        </w:rPr>
        <w:t xml:space="preserve"> A conservative figure for all Central America could be </w:t>
      </w:r>
      <w:r w:rsidRPr="007C3F57">
        <w:rPr>
          <w:b/>
          <w:bCs/>
          <w:szCs w:val="20"/>
        </w:rPr>
        <w:t>USD 500 MM</w:t>
      </w:r>
      <w:r>
        <w:rPr>
          <w:szCs w:val="20"/>
        </w:rPr>
        <w:t>.</w:t>
      </w:r>
    </w:p>
    <w:p w14:paraId="5D091544" w14:textId="77777777" w:rsidR="00A87AF1" w:rsidRPr="00C84118" w:rsidRDefault="00A87AF1" w:rsidP="00A87AF1">
      <w:pPr>
        <w:rPr>
          <w:szCs w:val="20"/>
        </w:rPr>
      </w:pPr>
      <w:r w:rsidRPr="00C84118">
        <w:rPr>
          <w:b/>
          <w:bCs/>
          <w:szCs w:val="20"/>
        </w:rPr>
        <w:t>g. Energy efficiency technologies.</w:t>
      </w:r>
      <w:r w:rsidRPr="00C84118">
        <w:rPr>
          <w:szCs w:val="20"/>
        </w:rPr>
        <w:t xml:space="preserve">  To estimate the potential of this technology, information from a study conducted in 2019, sponsored by SICA and GiZ</w:t>
      </w:r>
      <w:r>
        <w:rPr>
          <w:rStyle w:val="Refdenotaalpie"/>
          <w:szCs w:val="20"/>
        </w:rPr>
        <w:footnoteReference w:id="18"/>
      </w:r>
      <w:r w:rsidRPr="00C84118">
        <w:rPr>
          <w:szCs w:val="20"/>
        </w:rPr>
        <w:t xml:space="preserve">, was used. According to this study, the potential for economic savings (by reducing electricity consumption at the prevailing </w:t>
      </w:r>
      <w:r>
        <w:rPr>
          <w:szCs w:val="20"/>
        </w:rPr>
        <w:t>electricity tariffs</w:t>
      </w:r>
      <w:r w:rsidRPr="00C84118">
        <w:rPr>
          <w:szCs w:val="20"/>
        </w:rPr>
        <w:t xml:space="preserve"> in the region), because of the implementation of energy efficiency technologies such as lighting, air conditioning, refrigeration, and sustainable building (average values of the decade to 2025),</w:t>
      </w:r>
      <w:r>
        <w:rPr>
          <w:szCs w:val="20"/>
        </w:rPr>
        <w:t xml:space="preserve"> vis a vis “business as usual” scenario,</w:t>
      </w:r>
      <w:r w:rsidRPr="00C84118">
        <w:rPr>
          <w:szCs w:val="20"/>
        </w:rPr>
        <w:t xml:space="preserve"> is USD 968 MM/year. It is difficult to</w:t>
      </w:r>
      <w:r>
        <w:rPr>
          <w:szCs w:val="20"/>
        </w:rPr>
        <w:t xml:space="preserve"> estimate</w:t>
      </w:r>
      <w:r w:rsidRPr="00C84118">
        <w:rPr>
          <w:szCs w:val="20"/>
        </w:rPr>
        <w:t xml:space="preserve"> the amount of investment corresponding to this saving</w:t>
      </w:r>
      <w:r>
        <w:rPr>
          <w:szCs w:val="20"/>
        </w:rPr>
        <w:t>s</w:t>
      </w:r>
      <w:r w:rsidRPr="00C84118">
        <w:rPr>
          <w:szCs w:val="20"/>
        </w:rPr>
        <w:t>, but it is obviously a very significant potential.</w:t>
      </w:r>
    </w:p>
    <w:p w14:paraId="4A4B3D68" w14:textId="6EB5CBEA" w:rsidR="00A87AF1" w:rsidRDefault="00A87AF1" w:rsidP="00A87AF1">
      <w:pPr>
        <w:rPr>
          <w:szCs w:val="20"/>
        </w:rPr>
      </w:pPr>
      <w:r w:rsidRPr="00C84118">
        <w:rPr>
          <w:b/>
          <w:bCs/>
          <w:szCs w:val="20"/>
        </w:rPr>
        <w:t>h. Electromobility.</w:t>
      </w:r>
      <w:r w:rsidRPr="00C84118">
        <w:rPr>
          <w:szCs w:val="20"/>
        </w:rPr>
        <w:t xml:space="preserve">  </w:t>
      </w:r>
      <w:r>
        <w:rPr>
          <w:szCs w:val="20"/>
        </w:rPr>
        <w:t>Not calculated in this document since it corresponds to another sectoral study being developed simultaneously as part of the same EU cooperation program.</w:t>
      </w:r>
    </w:p>
    <w:p w14:paraId="4F5CCD70" w14:textId="15F4F1B8" w:rsidR="00261EDA" w:rsidRPr="003A4839" w:rsidRDefault="00261EDA" w:rsidP="00A87AF1">
      <w:pPr>
        <w:rPr>
          <w:szCs w:val="20"/>
        </w:rPr>
      </w:pPr>
      <w:r w:rsidRPr="00261EDA">
        <w:rPr>
          <w:b/>
          <w:bCs/>
          <w:szCs w:val="20"/>
        </w:rPr>
        <w:t>i. Manufacture of green hydrogen</w:t>
      </w:r>
      <w:r w:rsidRPr="00261EDA">
        <w:rPr>
          <w:szCs w:val="20"/>
        </w:rPr>
        <w:t xml:space="preserve"> from RE sources to export to the EU and other international markets (no data available).</w:t>
      </w:r>
    </w:p>
    <w:p w14:paraId="179ECB67" w14:textId="28A988BC" w:rsidR="008F09B0" w:rsidRPr="00472B84" w:rsidRDefault="008F09B0" w:rsidP="00336136">
      <w:pPr>
        <w:pStyle w:val="Ttulo2"/>
        <w:spacing w:before="0" w:line="240" w:lineRule="auto"/>
      </w:pPr>
      <w:bookmarkStart w:id="28" w:name="_Toc90453972"/>
      <w:r w:rsidRPr="00472B84">
        <w:t>Validation of market opportunities</w:t>
      </w:r>
      <w:bookmarkEnd w:id="28"/>
    </w:p>
    <w:p w14:paraId="7543B7C5" w14:textId="72F67B35" w:rsidR="00D11BD5" w:rsidRDefault="004E0B6D" w:rsidP="00336136">
      <w:pPr>
        <w:spacing w:line="240" w:lineRule="auto"/>
        <w:rPr>
          <w:szCs w:val="20"/>
        </w:rPr>
      </w:pPr>
      <w:r>
        <w:rPr>
          <w:szCs w:val="20"/>
          <w:lang w:val="en"/>
        </w:rPr>
        <w:t xml:space="preserve">Regarding </w:t>
      </w:r>
      <w:r w:rsidR="00D11BD5">
        <w:rPr>
          <w:szCs w:val="20"/>
          <w:lang w:val="en"/>
        </w:rPr>
        <w:t xml:space="preserve">main investment opportunities </w:t>
      </w:r>
      <w:r>
        <w:rPr>
          <w:szCs w:val="20"/>
          <w:lang w:val="en"/>
        </w:rPr>
        <w:t>in</w:t>
      </w:r>
      <w:r w:rsidR="00D11BD5">
        <w:rPr>
          <w:szCs w:val="20"/>
          <w:lang w:val="en"/>
        </w:rPr>
        <w:t xml:space="preserve"> renewable energy and energy efficiency market</w:t>
      </w:r>
      <w:r>
        <w:rPr>
          <w:szCs w:val="20"/>
          <w:lang w:val="en"/>
        </w:rPr>
        <w:t>s</w:t>
      </w:r>
      <w:r w:rsidR="00D11BD5">
        <w:rPr>
          <w:szCs w:val="20"/>
          <w:lang w:val="en"/>
        </w:rPr>
        <w:t xml:space="preserve">, </w:t>
      </w:r>
      <w:r>
        <w:rPr>
          <w:szCs w:val="20"/>
          <w:lang w:val="en"/>
        </w:rPr>
        <w:t xml:space="preserve">collected </w:t>
      </w:r>
      <w:r w:rsidR="00715F7C">
        <w:rPr>
          <w:szCs w:val="20"/>
          <w:lang w:val="en"/>
        </w:rPr>
        <w:t>stakeholders’</w:t>
      </w:r>
      <w:r>
        <w:rPr>
          <w:szCs w:val="20"/>
          <w:lang w:val="en"/>
        </w:rPr>
        <w:t xml:space="preserve"> </w:t>
      </w:r>
      <w:r w:rsidR="00D11BD5">
        <w:rPr>
          <w:szCs w:val="20"/>
          <w:lang w:val="en"/>
        </w:rPr>
        <w:t>opinions were as follows:</w:t>
      </w:r>
    </w:p>
    <w:p w14:paraId="097F9F8E" w14:textId="752FFC32" w:rsidR="00EB1DFD" w:rsidRDefault="00EB1DFD" w:rsidP="00336136">
      <w:pPr>
        <w:pStyle w:val="NormalWeb"/>
        <w:spacing w:before="0" w:beforeAutospacing="0" w:after="160" w:afterAutospacing="0"/>
        <w:rPr>
          <w:rFonts w:ascii="Avenir Next LT Pro" w:eastAsiaTheme="minorHAnsi" w:hAnsi="Avenir Next LT Pro" w:cstheme="minorBidi"/>
          <w:sz w:val="20"/>
          <w:szCs w:val="20"/>
          <w:lang w:eastAsia="en-US"/>
        </w:rPr>
      </w:pPr>
      <w:r>
        <w:rPr>
          <w:rFonts w:ascii="Avenir Next LT Pro" w:eastAsiaTheme="minorHAnsi" w:hAnsi="Avenir Next LT Pro" w:cstheme="minorBidi"/>
          <w:sz w:val="20"/>
          <w:szCs w:val="20"/>
          <w:lang w:eastAsia="en-US"/>
        </w:rPr>
        <w:t xml:space="preserve">Central America has one of the world’s highest shares of renewable energy, due to the </w:t>
      </w:r>
      <w:r w:rsidR="00715F7C">
        <w:rPr>
          <w:rFonts w:ascii="Avenir Next LT Pro" w:eastAsiaTheme="minorHAnsi" w:hAnsi="Avenir Next LT Pro" w:cstheme="minorBidi"/>
          <w:sz w:val="20"/>
          <w:szCs w:val="20"/>
          <w:lang w:eastAsia="en-US"/>
        </w:rPr>
        <w:t xml:space="preserve">abundance of natural resources and the </w:t>
      </w:r>
      <w:r>
        <w:rPr>
          <w:rFonts w:ascii="Avenir Next LT Pro" w:eastAsiaTheme="minorHAnsi" w:hAnsi="Avenir Next LT Pro" w:cstheme="minorBidi"/>
          <w:sz w:val="20"/>
          <w:szCs w:val="20"/>
          <w:lang w:eastAsia="en-US"/>
        </w:rPr>
        <w:t xml:space="preserve">large historical development of hydropower, </w:t>
      </w:r>
      <w:r w:rsidR="00A33B38">
        <w:rPr>
          <w:rFonts w:ascii="Avenir Next LT Pro" w:eastAsiaTheme="minorHAnsi" w:hAnsi="Avenir Next LT Pro" w:cstheme="minorBidi"/>
          <w:sz w:val="20"/>
          <w:szCs w:val="20"/>
          <w:lang w:eastAsia="en-US"/>
        </w:rPr>
        <w:t>that</w:t>
      </w:r>
      <w:r>
        <w:rPr>
          <w:rFonts w:ascii="Avenir Next LT Pro" w:eastAsiaTheme="minorHAnsi" w:hAnsi="Avenir Next LT Pro" w:cstheme="minorBidi"/>
          <w:sz w:val="20"/>
          <w:szCs w:val="20"/>
          <w:lang w:eastAsia="en-US"/>
        </w:rPr>
        <w:t xml:space="preserve"> stand</w:t>
      </w:r>
      <w:r w:rsidR="00A33B38">
        <w:rPr>
          <w:rFonts w:ascii="Avenir Next LT Pro" w:eastAsiaTheme="minorHAnsi" w:hAnsi="Avenir Next LT Pro" w:cstheme="minorBidi"/>
          <w:sz w:val="20"/>
          <w:szCs w:val="20"/>
          <w:lang w:eastAsia="en-US"/>
        </w:rPr>
        <w:t>s</w:t>
      </w:r>
      <w:r>
        <w:rPr>
          <w:rFonts w:ascii="Avenir Next LT Pro" w:eastAsiaTheme="minorHAnsi" w:hAnsi="Avenir Next LT Pro" w:cstheme="minorBidi"/>
          <w:sz w:val="20"/>
          <w:szCs w:val="20"/>
          <w:lang w:eastAsia="en-US"/>
        </w:rPr>
        <w:t xml:space="preserve"> out as distinct features of the region. </w:t>
      </w:r>
      <w:r w:rsidR="00715F7C">
        <w:rPr>
          <w:rFonts w:ascii="Avenir Next LT Pro" w:eastAsiaTheme="minorHAnsi" w:hAnsi="Avenir Next LT Pro" w:cstheme="minorBidi"/>
          <w:sz w:val="20"/>
          <w:szCs w:val="20"/>
          <w:lang w:eastAsia="en-US"/>
        </w:rPr>
        <w:t>Nevertheless, s</w:t>
      </w:r>
      <w:r>
        <w:rPr>
          <w:rFonts w:ascii="Avenir Next LT Pro" w:eastAsiaTheme="minorHAnsi" w:hAnsi="Avenir Next LT Pro" w:cstheme="minorBidi"/>
          <w:sz w:val="20"/>
          <w:szCs w:val="20"/>
          <w:lang w:eastAsia="en-US"/>
        </w:rPr>
        <w:t xml:space="preserve">ince 2014 no major bids have been launched for the installation of RE projects in Central America, </w:t>
      </w:r>
      <w:r w:rsidR="00715F7C">
        <w:rPr>
          <w:rFonts w:ascii="Avenir Next LT Pro" w:eastAsiaTheme="minorHAnsi" w:hAnsi="Avenir Next LT Pro" w:cstheme="minorBidi"/>
          <w:sz w:val="20"/>
          <w:szCs w:val="20"/>
          <w:lang w:eastAsia="en-US"/>
        </w:rPr>
        <w:t>only</w:t>
      </w:r>
      <w:r>
        <w:rPr>
          <w:rFonts w:ascii="Avenir Next LT Pro" w:eastAsiaTheme="minorHAnsi" w:hAnsi="Avenir Next LT Pro" w:cstheme="minorBidi"/>
          <w:sz w:val="20"/>
          <w:szCs w:val="20"/>
          <w:lang w:eastAsia="en-US"/>
        </w:rPr>
        <w:t xml:space="preserve"> small individual projects have been tendered in Honduras and El Salvador</w:t>
      </w:r>
      <w:r w:rsidR="00715F7C">
        <w:rPr>
          <w:rFonts w:ascii="Avenir Next LT Pro" w:eastAsiaTheme="minorHAnsi" w:hAnsi="Avenir Next LT Pro" w:cstheme="minorBidi"/>
          <w:sz w:val="20"/>
          <w:szCs w:val="20"/>
          <w:lang w:eastAsia="en-US"/>
        </w:rPr>
        <w:t xml:space="preserve"> in recent years</w:t>
      </w:r>
      <w:r>
        <w:rPr>
          <w:rFonts w:ascii="Avenir Next LT Pro" w:eastAsiaTheme="minorHAnsi" w:hAnsi="Avenir Next LT Pro" w:cstheme="minorBidi"/>
          <w:sz w:val="20"/>
          <w:szCs w:val="20"/>
          <w:lang w:eastAsia="en-US"/>
        </w:rPr>
        <w:t xml:space="preserve">. </w:t>
      </w:r>
    </w:p>
    <w:p w14:paraId="7BA39F49" w14:textId="3D4F2341" w:rsidR="00630DCB" w:rsidRDefault="00EB1DFD" w:rsidP="00336136">
      <w:pPr>
        <w:pStyle w:val="HTMLconformatoprevio"/>
        <w:spacing w:after="160"/>
        <w:jc w:val="both"/>
        <w:rPr>
          <w:rFonts w:ascii="Avenir Next LT Pro" w:eastAsiaTheme="minorHAnsi" w:hAnsi="Avenir Next LT Pro" w:cstheme="minorBidi"/>
          <w:lang w:val="en-US" w:eastAsia="en-US"/>
        </w:rPr>
      </w:pPr>
      <w:r>
        <w:rPr>
          <w:rFonts w:ascii="Avenir Next LT Pro" w:eastAsiaTheme="minorHAnsi" w:hAnsi="Avenir Next LT Pro" w:cstheme="minorBidi"/>
          <w:lang w:val="en-US" w:eastAsia="en-US"/>
        </w:rPr>
        <w:t xml:space="preserve">During the last five years, the energy market in Central America has shown atypical trends. </w:t>
      </w:r>
      <w:r w:rsidR="00630DCB">
        <w:rPr>
          <w:rFonts w:ascii="Avenir Next LT Pro" w:eastAsiaTheme="minorHAnsi" w:hAnsi="Avenir Next LT Pro" w:cstheme="minorBidi"/>
          <w:lang w:val="en-US" w:eastAsia="en-US"/>
        </w:rPr>
        <w:t>One of the most significant is the decoupling between the behavior of GDP and energy demand. While the region has seen a moderate growth in GDP, electricity demand in growing in a lesser extent</w:t>
      </w:r>
      <w:r w:rsidR="00292DE8">
        <w:rPr>
          <w:rFonts w:ascii="Avenir Next LT Pro" w:eastAsiaTheme="minorHAnsi" w:hAnsi="Avenir Next LT Pro" w:cstheme="minorBidi"/>
          <w:lang w:val="en-US" w:eastAsia="en-US"/>
        </w:rPr>
        <w:t>. D</w:t>
      </w:r>
      <w:r w:rsidR="00630DCB">
        <w:rPr>
          <w:rFonts w:ascii="Avenir Next LT Pro" w:eastAsiaTheme="minorHAnsi" w:hAnsi="Avenir Next LT Pro" w:cstheme="minorBidi"/>
          <w:lang w:val="en-US" w:eastAsia="en-US"/>
        </w:rPr>
        <w:t xml:space="preserve">uring the current pandemic, </w:t>
      </w:r>
      <w:r w:rsidR="00292DE8">
        <w:rPr>
          <w:rFonts w:ascii="Avenir Next LT Pro" w:eastAsiaTheme="minorHAnsi" w:hAnsi="Avenir Next LT Pro" w:cstheme="minorBidi"/>
          <w:lang w:val="en-US" w:eastAsia="en-US"/>
        </w:rPr>
        <w:t>the</w:t>
      </w:r>
      <w:r w:rsidR="00630DCB">
        <w:rPr>
          <w:rFonts w:ascii="Avenir Next LT Pro" w:eastAsiaTheme="minorHAnsi" w:hAnsi="Avenir Next LT Pro" w:cstheme="minorBidi"/>
          <w:lang w:val="en-US" w:eastAsia="en-US"/>
        </w:rPr>
        <w:t xml:space="preserve"> residential sector demand experienced a growth while GDP significantly decreased.    </w:t>
      </w:r>
    </w:p>
    <w:p w14:paraId="0018AE55" w14:textId="75646E9F" w:rsidR="00EB1DFD" w:rsidRDefault="00630DCB" w:rsidP="00336136">
      <w:pPr>
        <w:pStyle w:val="HTMLconformatoprevio"/>
        <w:spacing w:after="160"/>
        <w:jc w:val="both"/>
        <w:rPr>
          <w:rFonts w:ascii="Avenir Next LT Pro" w:eastAsiaTheme="minorHAnsi" w:hAnsi="Avenir Next LT Pro" w:cstheme="minorBidi"/>
          <w:lang w:val="en-US" w:eastAsia="en-US"/>
        </w:rPr>
      </w:pPr>
      <w:r>
        <w:rPr>
          <w:rFonts w:ascii="Avenir Next LT Pro" w:eastAsiaTheme="minorHAnsi" w:hAnsi="Avenir Next LT Pro" w:cstheme="minorBidi"/>
          <w:lang w:val="en-US" w:eastAsia="en-US"/>
        </w:rPr>
        <w:t xml:space="preserve">In </w:t>
      </w:r>
      <w:r w:rsidR="00EB1DFD">
        <w:rPr>
          <w:rFonts w:ascii="Avenir Next LT Pro" w:eastAsiaTheme="minorHAnsi" w:hAnsi="Avenir Next LT Pro" w:cstheme="minorBidi"/>
          <w:lang w:val="en-US" w:eastAsia="en-US"/>
        </w:rPr>
        <w:t>countries like Costa Rica and Guatemala there is an excess supply of energy, due to a very low demand resulting from the lack of greater economic growth</w:t>
      </w:r>
      <w:r>
        <w:rPr>
          <w:rFonts w:ascii="Avenir Next LT Pro" w:eastAsiaTheme="minorHAnsi" w:hAnsi="Avenir Next LT Pro" w:cstheme="minorBidi"/>
          <w:lang w:val="en-US" w:eastAsia="en-US"/>
        </w:rPr>
        <w:t xml:space="preserve"> and recent significant capacity additions that are not fully used</w:t>
      </w:r>
      <w:r w:rsidR="00EB1DFD">
        <w:rPr>
          <w:rFonts w:ascii="Avenir Next LT Pro" w:eastAsiaTheme="minorHAnsi" w:hAnsi="Avenir Next LT Pro" w:cstheme="minorBidi"/>
          <w:lang w:val="en-US" w:eastAsia="en-US"/>
        </w:rPr>
        <w:t xml:space="preserve">. Since the region does not have large electricity-consuming industries either, migration to electric transport is expected to stimulate demand.  Thus, the main economic barrier for the development of new RE plants connected to the grid is the low economic growth and fiscal crises in several Central American countries, which increased with the pandemic, except </w:t>
      </w:r>
      <w:r w:rsidR="00A33B38">
        <w:rPr>
          <w:rFonts w:ascii="Avenir Next LT Pro" w:eastAsiaTheme="minorHAnsi" w:hAnsi="Avenir Next LT Pro" w:cstheme="minorBidi"/>
          <w:lang w:val="en-US" w:eastAsia="en-US"/>
        </w:rPr>
        <w:t>for</w:t>
      </w:r>
      <w:r w:rsidR="00EB1DFD">
        <w:rPr>
          <w:rFonts w:ascii="Avenir Next LT Pro" w:eastAsiaTheme="minorHAnsi" w:hAnsi="Avenir Next LT Pro" w:cstheme="minorBidi"/>
          <w:lang w:val="en-US" w:eastAsia="en-US"/>
        </w:rPr>
        <w:t xml:space="preserve"> </w:t>
      </w:r>
      <w:r w:rsidR="00292DE8">
        <w:rPr>
          <w:rFonts w:ascii="Avenir Next LT Pro" w:eastAsiaTheme="minorHAnsi" w:hAnsi="Avenir Next LT Pro" w:cstheme="minorBidi"/>
          <w:lang w:val="en-US" w:eastAsia="en-US"/>
        </w:rPr>
        <w:t xml:space="preserve">the demand of the </w:t>
      </w:r>
      <w:r>
        <w:rPr>
          <w:rFonts w:ascii="Avenir Next LT Pro" w:eastAsiaTheme="minorHAnsi" w:hAnsi="Avenir Next LT Pro" w:cstheme="minorBidi"/>
          <w:lang w:val="en-US" w:eastAsia="en-US"/>
        </w:rPr>
        <w:t>residential sector</w:t>
      </w:r>
      <w:r w:rsidR="00292DE8">
        <w:rPr>
          <w:rFonts w:ascii="Avenir Next LT Pro" w:eastAsiaTheme="minorHAnsi" w:hAnsi="Avenir Next LT Pro" w:cstheme="minorBidi"/>
          <w:lang w:val="en-US" w:eastAsia="en-US"/>
        </w:rPr>
        <w:t>.</w:t>
      </w:r>
      <w:r w:rsidR="00EB1DFD">
        <w:rPr>
          <w:rFonts w:ascii="Avenir Next LT Pro" w:eastAsiaTheme="minorHAnsi" w:hAnsi="Avenir Next LT Pro" w:cstheme="minorBidi"/>
          <w:lang w:val="en-US" w:eastAsia="en-US"/>
        </w:rPr>
        <w:t xml:space="preserve"> </w:t>
      </w:r>
    </w:p>
    <w:p w14:paraId="4DE498A4" w14:textId="557546A1" w:rsidR="00EB1DFD" w:rsidRDefault="00EF6368" w:rsidP="0033613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160" w:afterAutospacing="0"/>
        <w:rPr>
          <w:rFonts w:ascii="Avenir Next LT Pro" w:eastAsiaTheme="minorHAnsi" w:hAnsi="Avenir Next LT Pro" w:cstheme="minorBidi"/>
          <w:b/>
          <w:bCs/>
          <w:sz w:val="20"/>
          <w:szCs w:val="20"/>
          <w:lang w:eastAsia="en-US"/>
        </w:rPr>
      </w:pPr>
      <w:r>
        <w:rPr>
          <w:rFonts w:ascii="Avenir Next LT Pro" w:eastAsiaTheme="minorHAnsi" w:hAnsi="Avenir Next LT Pro" w:cstheme="minorBidi"/>
          <w:sz w:val="20"/>
          <w:szCs w:val="20"/>
          <w:lang w:eastAsia="en-US"/>
        </w:rPr>
        <w:t xml:space="preserve">Several experts mentioned the global trend towards </w:t>
      </w:r>
      <w:r w:rsidR="00EB1DFD">
        <w:rPr>
          <w:rFonts w:ascii="Avenir Next LT Pro" w:eastAsiaTheme="minorHAnsi" w:hAnsi="Avenir Next LT Pro" w:cstheme="minorBidi"/>
          <w:sz w:val="20"/>
          <w:szCs w:val="20"/>
          <w:lang w:eastAsia="en-US"/>
        </w:rPr>
        <w:t>distributed generation and self-</w:t>
      </w:r>
      <w:r>
        <w:rPr>
          <w:rFonts w:ascii="Avenir Next LT Pro" w:eastAsiaTheme="minorHAnsi" w:hAnsi="Avenir Next LT Pro" w:cstheme="minorBidi"/>
          <w:sz w:val="20"/>
          <w:szCs w:val="20"/>
          <w:lang w:eastAsia="en-US"/>
        </w:rPr>
        <w:t>production</w:t>
      </w:r>
      <w:r w:rsidR="00EB1DFD">
        <w:rPr>
          <w:rFonts w:ascii="Avenir Next LT Pro" w:eastAsiaTheme="minorHAnsi" w:hAnsi="Avenir Next LT Pro" w:cstheme="minorBidi"/>
          <w:sz w:val="20"/>
          <w:szCs w:val="20"/>
          <w:lang w:eastAsia="en-US"/>
        </w:rPr>
        <w:t xml:space="preserve"> of renewable energy</w:t>
      </w:r>
      <w:r>
        <w:rPr>
          <w:rFonts w:ascii="Avenir Next LT Pro" w:eastAsiaTheme="minorHAnsi" w:hAnsi="Avenir Next LT Pro" w:cstheme="minorBidi"/>
          <w:sz w:val="20"/>
          <w:szCs w:val="20"/>
          <w:lang w:eastAsia="en-US"/>
        </w:rPr>
        <w:t xml:space="preserve">, which has not really arrived in Central America because distribution companies are viewing it as a threat and not looking to develop win-win business models with final consumers. International cooperation can provide a hand in helping to define and implement these models and corresponding pilot projects. </w:t>
      </w:r>
      <w:r w:rsidR="00EB1DFD">
        <w:rPr>
          <w:rFonts w:ascii="Avenir Next LT Pro" w:eastAsiaTheme="minorHAnsi" w:hAnsi="Avenir Next LT Pro" w:cstheme="minorBidi"/>
          <w:sz w:val="20"/>
          <w:szCs w:val="20"/>
          <w:lang w:eastAsia="en-US"/>
        </w:rPr>
        <w:t xml:space="preserve">This represents a </w:t>
      </w:r>
      <w:r>
        <w:rPr>
          <w:rFonts w:ascii="Avenir Next LT Pro" w:eastAsiaTheme="minorHAnsi" w:hAnsi="Avenir Next LT Pro" w:cstheme="minorBidi"/>
          <w:sz w:val="20"/>
          <w:szCs w:val="20"/>
          <w:lang w:eastAsia="en-US"/>
        </w:rPr>
        <w:t xml:space="preserve">large </w:t>
      </w:r>
      <w:r w:rsidR="00EB1DFD">
        <w:rPr>
          <w:rFonts w:ascii="Avenir Next LT Pro" w:eastAsiaTheme="minorHAnsi" w:hAnsi="Avenir Next LT Pro" w:cstheme="minorBidi"/>
          <w:sz w:val="20"/>
          <w:szCs w:val="20"/>
          <w:lang w:eastAsia="en-US"/>
        </w:rPr>
        <w:t>business opportunity for distributors</w:t>
      </w:r>
      <w:r>
        <w:rPr>
          <w:rFonts w:ascii="Avenir Next LT Pro" w:eastAsiaTheme="minorHAnsi" w:hAnsi="Avenir Next LT Pro" w:cstheme="minorBidi"/>
          <w:sz w:val="20"/>
          <w:szCs w:val="20"/>
          <w:lang w:eastAsia="en-US"/>
        </w:rPr>
        <w:t xml:space="preserve"> if they can handle it correctly</w:t>
      </w:r>
      <w:r w:rsidR="00EB1DFD">
        <w:rPr>
          <w:rFonts w:ascii="Avenir Next LT Pro" w:eastAsiaTheme="minorHAnsi" w:hAnsi="Avenir Next LT Pro" w:cstheme="minorBidi"/>
          <w:sz w:val="20"/>
          <w:szCs w:val="20"/>
          <w:lang w:eastAsia="en-US"/>
        </w:rPr>
        <w:t>.</w:t>
      </w:r>
    </w:p>
    <w:p w14:paraId="55C0BA66" w14:textId="1718B0BF" w:rsidR="00EB1DFD" w:rsidRDefault="00EB1DFD" w:rsidP="0033613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160" w:afterAutospacing="0"/>
        <w:rPr>
          <w:rFonts w:ascii="Avenir Next LT Pro" w:eastAsiaTheme="minorHAnsi" w:hAnsi="Avenir Next LT Pro" w:cstheme="minorBidi"/>
          <w:b/>
          <w:bCs/>
          <w:sz w:val="20"/>
          <w:szCs w:val="20"/>
          <w:lang w:eastAsia="en-US"/>
        </w:rPr>
      </w:pPr>
      <w:r>
        <w:rPr>
          <w:rFonts w:ascii="Avenir Next LT Pro" w:eastAsiaTheme="minorHAnsi" w:hAnsi="Avenir Next LT Pro" w:cstheme="minorBidi"/>
          <w:sz w:val="20"/>
          <w:szCs w:val="20"/>
          <w:lang w:eastAsia="en-US"/>
        </w:rPr>
        <w:t xml:space="preserve">The use of high load capacity batteries </w:t>
      </w:r>
      <w:r w:rsidR="00253550">
        <w:rPr>
          <w:rFonts w:ascii="Avenir Next LT Pro" w:eastAsiaTheme="minorHAnsi" w:hAnsi="Avenir Next LT Pro" w:cstheme="minorBidi"/>
          <w:sz w:val="20"/>
          <w:szCs w:val="20"/>
          <w:lang w:eastAsia="en-US"/>
        </w:rPr>
        <w:t>is set to</w:t>
      </w:r>
      <w:r>
        <w:rPr>
          <w:rFonts w:ascii="Avenir Next LT Pro" w:eastAsiaTheme="minorHAnsi" w:hAnsi="Avenir Next LT Pro" w:cstheme="minorBidi"/>
          <w:sz w:val="20"/>
          <w:szCs w:val="20"/>
          <w:lang w:eastAsia="en-US"/>
        </w:rPr>
        <w:t xml:space="preserve"> grow strongly in the mid-term as it is happening in other Latin American countries such as Chile and Brazil. However, small progress has yet been made in Central America on this issue, especially regarding </w:t>
      </w:r>
      <w:r w:rsidR="00253550">
        <w:rPr>
          <w:rFonts w:ascii="Avenir Next LT Pro" w:eastAsiaTheme="minorHAnsi" w:hAnsi="Avenir Next LT Pro" w:cstheme="minorBidi"/>
          <w:sz w:val="20"/>
          <w:szCs w:val="20"/>
          <w:lang w:eastAsia="en-US"/>
        </w:rPr>
        <w:t xml:space="preserve">regulations and incorporation of their cost in tariffs, and </w:t>
      </w:r>
      <w:r>
        <w:rPr>
          <w:rFonts w:ascii="Avenir Next LT Pro" w:eastAsiaTheme="minorHAnsi" w:hAnsi="Avenir Next LT Pro" w:cstheme="minorBidi"/>
          <w:sz w:val="20"/>
          <w:szCs w:val="20"/>
          <w:lang w:eastAsia="en-US"/>
        </w:rPr>
        <w:t>the final disposal or recycling of batteries. This issue must be solved from the beginning</w:t>
      </w:r>
      <w:r w:rsidR="00A33B38">
        <w:rPr>
          <w:rFonts w:ascii="Avenir Next LT Pro" w:eastAsiaTheme="minorHAnsi" w:hAnsi="Avenir Next LT Pro" w:cstheme="minorBidi"/>
          <w:sz w:val="20"/>
          <w:szCs w:val="20"/>
          <w:lang w:eastAsia="en-US"/>
        </w:rPr>
        <w:t xml:space="preserve"> by</w:t>
      </w:r>
      <w:r>
        <w:rPr>
          <w:rFonts w:ascii="Avenir Next LT Pro" w:eastAsiaTheme="minorHAnsi" w:hAnsi="Avenir Next LT Pro" w:cstheme="minorBidi"/>
          <w:sz w:val="20"/>
          <w:szCs w:val="20"/>
          <w:lang w:eastAsia="en-US"/>
        </w:rPr>
        <w:t xml:space="preserve"> designing and enforcing legislation and technical knowledge on how to manage these batteries accordingly.</w:t>
      </w:r>
    </w:p>
    <w:p w14:paraId="5DBBB4F8" w14:textId="2C015E24" w:rsidR="00EB1DFD" w:rsidRDefault="00EB1DFD" w:rsidP="00336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
        <w:rPr>
          <w:szCs w:val="20"/>
        </w:rPr>
        <w:t xml:space="preserve">European manufacturers </w:t>
      </w:r>
      <w:r w:rsidR="00253550">
        <w:rPr>
          <w:szCs w:val="20"/>
        </w:rPr>
        <w:t xml:space="preserve">are regarded as reliable sources of quality RE and EE products, and especially for their capacity to integrate solutions. Unfortunately, the lack of regulations on quality and sustainability turn price the most significant parameter of selection, making Asian products more competitive. </w:t>
      </w:r>
      <w:r>
        <w:rPr>
          <w:szCs w:val="20"/>
        </w:rPr>
        <w:t xml:space="preserve">For example, </w:t>
      </w:r>
      <w:r>
        <w:t xml:space="preserve">China offers low prices in </w:t>
      </w:r>
      <w:r w:rsidR="00253550">
        <w:t>batteries,</w:t>
      </w:r>
      <w:r>
        <w:t xml:space="preserve"> but it doesn't offer any further solution</w:t>
      </w:r>
      <w:r w:rsidR="00253550">
        <w:t xml:space="preserve">s, while </w:t>
      </w:r>
      <w:r>
        <w:t xml:space="preserve">European suppliers tend to offer </w:t>
      </w:r>
      <w:r w:rsidR="00253550">
        <w:t>t</w:t>
      </w:r>
      <w:r>
        <w:t>urn-</w:t>
      </w:r>
      <w:r w:rsidR="00253550">
        <w:t>k</w:t>
      </w:r>
      <w:r>
        <w:t xml:space="preserve">ey </w:t>
      </w:r>
      <w:r w:rsidR="00253550">
        <w:t>s</w:t>
      </w:r>
      <w:r>
        <w:t>olutions</w:t>
      </w:r>
      <w:r w:rsidR="00253550">
        <w:t xml:space="preserve">, </w:t>
      </w:r>
      <w:r>
        <w:rPr>
          <w:szCs w:val="20"/>
        </w:rPr>
        <w:t>long quality lifecycle</w:t>
      </w:r>
      <w:r w:rsidR="00253550">
        <w:rPr>
          <w:szCs w:val="20"/>
        </w:rPr>
        <w:t xml:space="preserve">, and </w:t>
      </w:r>
      <w:r>
        <w:rPr>
          <w:szCs w:val="20"/>
        </w:rPr>
        <w:t>sustainability certifications</w:t>
      </w:r>
      <w:r w:rsidR="00175A1F">
        <w:rPr>
          <w:szCs w:val="20"/>
        </w:rPr>
        <w:t xml:space="preserve">. Yet, </w:t>
      </w:r>
      <w:r>
        <w:t xml:space="preserve">their prices are </w:t>
      </w:r>
      <w:r w:rsidR="00292DE8">
        <w:t xml:space="preserve">comparatively </w:t>
      </w:r>
      <w:r>
        <w:rPr>
          <w:szCs w:val="20"/>
        </w:rPr>
        <w:t>high</w:t>
      </w:r>
      <w:r w:rsidR="00292DE8">
        <w:rPr>
          <w:szCs w:val="20"/>
        </w:rPr>
        <w:t>, even against North American suppliers</w:t>
      </w:r>
      <w:r>
        <w:rPr>
          <w:szCs w:val="20"/>
        </w:rPr>
        <w:t>.</w:t>
      </w:r>
      <w:r>
        <w:t xml:space="preserve"> European suppliers can benefit for regional market opportunities </w:t>
      </w:r>
      <w:r w:rsidR="00253550">
        <w:t>by providing</w:t>
      </w:r>
      <w:r>
        <w:t xml:space="preserve"> long-term funding, quality</w:t>
      </w:r>
      <w:r w:rsidR="00253550">
        <w:t xml:space="preserve"> &amp; sustainability certifications</w:t>
      </w:r>
      <w:r>
        <w:t xml:space="preserve">, technical assistance, </w:t>
      </w:r>
      <w:r w:rsidR="00253550">
        <w:t>personnel training</w:t>
      </w:r>
      <w:r w:rsidR="00175A1F">
        <w:t>,</w:t>
      </w:r>
      <w:r w:rsidR="00253550">
        <w:t xml:space="preserve"> </w:t>
      </w:r>
      <w:r>
        <w:t xml:space="preserve">and extended warranties. They can also support the introduction of new technologies like </w:t>
      </w:r>
      <w:r w:rsidR="00266AA8">
        <w:t xml:space="preserve">green </w:t>
      </w:r>
      <w:r>
        <w:t>hydrogen</w:t>
      </w:r>
      <w:r w:rsidR="00266AA8">
        <w:t>, low enthalpy geothermal,</w:t>
      </w:r>
      <w:r>
        <w:t xml:space="preserve"> and electromobility.</w:t>
      </w:r>
    </w:p>
    <w:p w14:paraId="051A66BD" w14:textId="544A3E15" w:rsidR="00EB1DFD" w:rsidRDefault="00EB1DFD" w:rsidP="00336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bCs/>
          <w:szCs w:val="20"/>
        </w:rPr>
      </w:pPr>
      <w:r>
        <w:t xml:space="preserve">One interviewed stakeholder, representative of one of the larger generation and distribution groups operating in the region, declared that they currently are only working on distributed generation because its strong market </w:t>
      </w:r>
      <w:r w:rsidR="00292DE8">
        <w:t>traction</w:t>
      </w:r>
      <w:r>
        <w:t>.  Current business is more on distribution and self-</w:t>
      </w:r>
      <w:r w:rsidR="00175A1F">
        <w:t>sufficiency</w:t>
      </w:r>
      <w:r>
        <w:t xml:space="preserve"> instead of in </w:t>
      </w:r>
      <w:r w:rsidR="00175A1F">
        <w:t>produc</w:t>
      </w:r>
      <w:r>
        <w:t>tion.</w:t>
      </w:r>
    </w:p>
    <w:p w14:paraId="60E40F90" w14:textId="246492E4" w:rsidR="00EB1DFD" w:rsidRDefault="00EB1DFD" w:rsidP="0033613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160" w:afterAutospacing="0"/>
        <w:rPr>
          <w:rFonts w:ascii="Avenir Next LT Pro" w:eastAsiaTheme="minorHAnsi" w:hAnsi="Avenir Next LT Pro" w:cstheme="minorBidi"/>
          <w:sz w:val="20"/>
          <w:szCs w:val="20"/>
          <w:lang w:eastAsia="en-US"/>
        </w:rPr>
      </w:pPr>
      <w:r>
        <w:rPr>
          <w:rFonts w:ascii="Avenir Next LT Pro" w:eastAsiaTheme="minorHAnsi" w:hAnsi="Avenir Next LT Pro" w:cstheme="minorBidi"/>
          <w:sz w:val="20"/>
          <w:szCs w:val="22"/>
          <w:lang w:eastAsia="en-US"/>
        </w:rPr>
        <w:t>SICA and GIZ are promoting the development of low enthalpy geothermal energy in the Central American countries that have it available (Guatemala, El Salvador, Nicaragua, and Costa Rica to a greater extent). There are many applications that can be developed in the productive sectors, but political will</w:t>
      </w:r>
      <w:r w:rsidR="00292DE8">
        <w:rPr>
          <w:rFonts w:ascii="Avenir Next LT Pro" w:eastAsiaTheme="minorHAnsi" w:hAnsi="Avenir Next LT Pro" w:cstheme="minorBidi"/>
          <w:sz w:val="20"/>
          <w:szCs w:val="22"/>
          <w:lang w:eastAsia="en-US"/>
        </w:rPr>
        <w:t>, incentives and specific</w:t>
      </w:r>
      <w:r>
        <w:rPr>
          <w:rFonts w:ascii="Avenir Next LT Pro" w:eastAsiaTheme="minorHAnsi" w:hAnsi="Avenir Next LT Pro" w:cstheme="minorBidi"/>
          <w:sz w:val="20"/>
          <w:szCs w:val="22"/>
          <w:lang w:eastAsia="en-US"/>
        </w:rPr>
        <w:t xml:space="preserve"> regulations are needed to allow and encourage them. Nevertheless, at a political and </w:t>
      </w:r>
      <w:r w:rsidR="00266AA8">
        <w:rPr>
          <w:rFonts w:ascii="Avenir Next LT Pro" w:eastAsiaTheme="minorHAnsi" w:hAnsi="Avenir Next LT Pro" w:cstheme="minorBidi"/>
          <w:sz w:val="20"/>
          <w:szCs w:val="22"/>
          <w:lang w:eastAsia="en-US"/>
        </w:rPr>
        <w:t>r</w:t>
      </w:r>
      <w:r>
        <w:rPr>
          <w:rFonts w:ascii="Avenir Next LT Pro" w:eastAsiaTheme="minorHAnsi" w:hAnsi="Avenir Next LT Pro" w:cstheme="minorBidi"/>
          <w:sz w:val="20"/>
          <w:szCs w:val="22"/>
          <w:lang w:eastAsia="en-US"/>
        </w:rPr>
        <w:t>egulatory level it doesn't seem much interest</w:t>
      </w:r>
      <w:r w:rsidR="00266AA8">
        <w:rPr>
          <w:rFonts w:ascii="Avenir Next LT Pro" w:eastAsiaTheme="minorHAnsi" w:hAnsi="Avenir Next LT Pro" w:cstheme="minorBidi"/>
          <w:sz w:val="20"/>
          <w:szCs w:val="22"/>
          <w:lang w:eastAsia="en-US"/>
        </w:rPr>
        <w:t xml:space="preserve"> yet for</w:t>
      </w:r>
      <w:r>
        <w:rPr>
          <w:rFonts w:ascii="Avenir Next LT Pro" w:eastAsiaTheme="minorHAnsi" w:hAnsi="Avenir Next LT Pro" w:cstheme="minorBidi"/>
          <w:sz w:val="20"/>
          <w:szCs w:val="22"/>
          <w:lang w:eastAsia="en-US"/>
        </w:rPr>
        <w:t xml:space="preserve"> this technology in the region. </w:t>
      </w:r>
    </w:p>
    <w:p w14:paraId="2835FC47" w14:textId="689CA7B3" w:rsidR="00EB1DFD" w:rsidRDefault="00BE3A11" w:rsidP="00336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
        <w:t>E</w:t>
      </w:r>
      <w:r w:rsidR="00EB1DFD">
        <w:t xml:space="preserve">lectric </w:t>
      </w:r>
      <w:r>
        <w:t>M</w:t>
      </w:r>
      <w:r w:rsidR="00EB1DFD">
        <w:t xml:space="preserve">obility is also very important, and many governments are interested in developing some pilot projects. SICA is supporting the migration to electromobility, and electricity distributors are seeing it as a business opportunity. However, tariffs and incentives should be designed and approved.  European car manufacturers, which are rapidly migrating to electric cars, will have a good opportunity in the Central American market, given </w:t>
      </w:r>
      <w:r w:rsidR="00292DE8">
        <w:t>their</w:t>
      </w:r>
      <w:r w:rsidR="00EB1DFD">
        <w:t xml:space="preserve"> good market share </w:t>
      </w:r>
      <w:r w:rsidR="00175A1F">
        <w:t xml:space="preserve">in </w:t>
      </w:r>
      <w:r w:rsidR="00292DE8">
        <w:t>this</w:t>
      </w:r>
      <w:r w:rsidR="00175A1F">
        <w:t xml:space="preserve"> market</w:t>
      </w:r>
      <w:r w:rsidR="00EB1DFD">
        <w:t>. This will stimulate demand for electricity and electric stations, creating opportunities for the installation of more renewable energy plants.</w:t>
      </w:r>
    </w:p>
    <w:p w14:paraId="3A1BF806" w14:textId="369F700C" w:rsidR="00EB1DFD" w:rsidRDefault="00BE3A11" w:rsidP="00336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
        <w:t>In biomass</w:t>
      </w:r>
      <w:r w:rsidR="00292DE8">
        <w:t xml:space="preserve"> there</w:t>
      </w:r>
      <w:r w:rsidR="00EB1DFD">
        <w:t xml:space="preserve"> are several projects especially </w:t>
      </w:r>
      <w:r w:rsidR="00292DE8">
        <w:t>in sugar</w:t>
      </w:r>
      <w:r w:rsidR="00EB1DFD">
        <w:t xml:space="preserve"> cane mills, but there is not much biomass available for new projects due to the lack of supply at an adequate cost.  There is biogas availability for heat and electricity in large </w:t>
      </w:r>
      <w:r w:rsidR="00292DE8">
        <w:t>i</w:t>
      </w:r>
      <w:r w:rsidR="00EB1DFD">
        <w:t xml:space="preserve">ndustries, however technical barriers persist. </w:t>
      </w:r>
    </w:p>
    <w:p w14:paraId="5E06DBEA" w14:textId="01F63D54" w:rsidR="00EB1DFD" w:rsidRDefault="00BE3A11" w:rsidP="00336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 w:rsidRPr="00BE3A11">
        <w:t>The region has</w:t>
      </w:r>
      <w:r>
        <w:t xml:space="preserve"> </w:t>
      </w:r>
      <w:r w:rsidR="00EB1DFD">
        <w:t xml:space="preserve">interest in small </w:t>
      </w:r>
      <w:r w:rsidR="00292DE8">
        <w:t xml:space="preserve">hydropower </w:t>
      </w:r>
      <w:r w:rsidR="00EB1DFD">
        <w:t>projects. Large projects however are not a viable option anymore because of the environmental and social impacts and because of the implications of climate change on water security. The greatest investment opportunities are in microgrids for small, isolated communities in Guatemala, Honduras, and Nicaragua</w:t>
      </w:r>
      <w:r w:rsidR="00292DE8">
        <w:t xml:space="preserve">, and for </w:t>
      </w:r>
      <w:r w:rsidR="007763F9">
        <w:t>hybrid solar-hydro small projects (under 10 MW).</w:t>
      </w:r>
    </w:p>
    <w:p w14:paraId="482F82C3" w14:textId="30ABDA15" w:rsidR="00EB1DFD" w:rsidRDefault="00EB1DFD" w:rsidP="00336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
        <w:t>Eolic and solar technologies will receive the most attention, but they must be backed with firm power technologies (hydro, geothermal, natural gas) and with investments in distribution networks. This situation is conditioned by market prices, dispatch conditions and the possibility of long-term contracts and transport capacity in the MER/SIEPA</w:t>
      </w:r>
      <w:r w:rsidR="004D7A15">
        <w:t>C</w:t>
      </w:r>
      <w:r>
        <w:t>. It is necessary to make distribution investments in the most remote areas which require energy policies that support rural development.</w:t>
      </w:r>
    </w:p>
    <w:p w14:paraId="61B85C1D" w14:textId="11371A46" w:rsidR="00EB1DFD" w:rsidRDefault="007763F9" w:rsidP="00336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
        <w:t xml:space="preserve">Many experts agreed that wind and solar technologies represent better market opportunities in the region. </w:t>
      </w:r>
      <w:r w:rsidR="00EB1DFD">
        <w:t xml:space="preserve">In Guatemala, Honduras, El Salvador, Nicaragua and Panama, investments in solar plants have grown strongly in recent years. Only in Costa Rica the growth of this technology is not being promoted, due to the excess capacity installed in state plants, especially hydroelectric. </w:t>
      </w:r>
    </w:p>
    <w:p w14:paraId="6CCF80A3" w14:textId="0663F00D" w:rsidR="00D11BD5" w:rsidRPr="00D11BD5" w:rsidRDefault="007763F9" w:rsidP="00336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360" w:hanging="360"/>
        <w:rPr>
          <w:rFonts w:eastAsia="Times New Roman" w:cs="Times New Roman"/>
          <w:szCs w:val="20"/>
        </w:rPr>
      </w:pPr>
      <w:r>
        <w:t>Other comments were:</w:t>
      </w:r>
    </w:p>
    <w:p w14:paraId="78A06CF7" w14:textId="1F539C52" w:rsidR="00EB1DFD" w:rsidRDefault="00EB1DFD" w:rsidP="00336136">
      <w:pPr>
        <w:pStyle w:val="Prrafodelista"/>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pPr>
      <w:r>
        <w:rPr>
          <w:b/>
          <w:bCs/>
        </w:rPr>
        <w:t>Honduras</w:t>
      </w:r>
      <w:r>
        <w:t xml:space="preserve"> ha</w:t>
      </w:r>
      <w:r w:rsidR="00CE618E">
        <w:t>s</w:t>
      </w:r>
      <w:r>
        <w:t xml:space="preserve"> </w:t>
      </w:r>
      <w:r w:rsidR="00292DE8">
        <w:t>open and</w:t>
      </w:r>
      <w:r>
        <w:t xml:space="preserve"> flexible regulation</w:t>
      </w:r>
      <w:r w:rsidR="00292DE8">
        <w:t>s</w:t>
      </w:r>
      <w:r>
        <w:t xml:space="preserve"> </w:t>
      </w:r>
      <w:r w:rsidR="00292DE8">
        <w:t>for private investment</w:t>
      </w:r>
      <w:r>
        <w:t xml:space="preserve">. </w:t>
      </w:r>
      <w:r w:rsidR="00292DE8">
        <w:t>Nevertheless, the electricity sector is highly dependent and seriously affected by the difficult financial situation of the national utility</w:t>
      </w:r>
      <w:r>
        <w:t>.</w:t>
      </w:r>
    </w:p>
    <w:p w14:paraId="291A9EA4" w14:textId="77777777" w:rsidR="0040388E" w:rsidRPr="006658F5" w:rsidRDefault="00EB1DFD" w:rsidP="00336136">
      <w:pPr>
        <w:pStyle w:val="Prrafodelista"/>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pPr>
      <w:r>
        <w:rPr>
          <w:rFonts w:eastAsiaTheme="minorHAnsi"/>
          <w:b/>
          <w:bCs/>
        </w:rPr>
        <w:t>Panama</w:t>
      </w:r>
      <w:r>
        <w:rPr>
          <w:rFonts w:eastAsiaTheme="minorHAnsi"/>
        </w:rPr>
        <w:t xml:space="preserve"> </w:t>
      </w:r>
      <w:r>
        <w:t>has</w:t>
      </w:r>
      <w:r>
        <w:rPr>
          <w:rFonts w:eastAsiaTheme="minorHAnsi"/>
        </w:rPr>
        <w:t xml:space="preserve"> the best </w:t>
      </w:r>
      <w:r>
        <w:t xml:space="preserve">market </w:t>
      </w:r>
      <w:r>
        <w:rPr>
          <w:rFonts w:eastAsiaTheme="minorHAnsi"/>
        </w:rPr>
        <w:t>potential at a macroeconomic level, which is reflected in the energy policies that aim for the</w:t>
      </w:r>
      <w:r w:rsidR="00292DE8">
        <w:rPr>
          <w:rFonts w:eastAsiaTheme="minorHAnsi"/>
        </w:rPr>
        <w:t xml:space="preserve"> national</w:t>
      </w:r>
      <w:r>
        <w:rPr>
          <w:rFonts w:eastAsiaTheme="minorHAnsi"/>
        </w:rPr>
        <w:t xml:space="preserve"> grid modernization</w:t>
      </w:r>
      <w:r w:rsidR="007763F9">
        <w:rPr>
          <w:rFonts w:eastAsiaTheme="minorHAnsi"/>
        </w:rPr>
        <w:t xml:space="preserve"> and higher introduction of all type of RE technologies, combined with natural gas</w:t>
      </w:r>
      <w:r>
        <w:rPr>
          <w:rFonts w:eastAsiaTheme="minorHAnsi"/>
        </w:rPr>
        <w:t>.</w:t>
      </w:r>
    </w:p>
    <w:p w14:paraId="29FE6640" w14:textId="77777777" w:rsidR="004E0C5D" w:rsidRDefault="004E0C5D" w:rsidP="006658F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pPr>
      <w:r>
        <w:t>The Ministry of Energy of Panama launched for public consultation for 30 days starting on September 27, 2021, the National Distributed Generation Strategy (ENGED) project, considered in the Guidelines of the 2030 Energy Transition Agenda.</w:t>
      </w:r>
    </w:p>
    <w:p w14:paraId="1FA563E4" w14:textId="77777777" w:rsidR="004E0C5D" w:rsidRDefault="004E0C5D" w:rsidP="006658F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pPr>
      <w:r>
        <w:t>The strategy proposes that Distributed Generation (DG) be a determining factor in the diversification of the energy matrix using renewable sources, reducing greenhouse effect emissions, and decentralizing the electricity service in Panama.</w:t>
      </w:r>
    </w:p>
    <w:p w14:paraId="3D8134D8" w14:textId="11CCD872" w:rsidR="00EB1DFD" w:rsidRDefault="004E0C5D" w:rsidP="006658F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pPr>
      <w:r>
        <w:t xml:space="preserve">The conservative and optimistic scenarios project that distributed generation would represent 7% and 14% of the projected generation for 2030, which means the installation of 950 and 1700 MW, respectively. The residential sector represents 58% of the technical and economic potential, </w:t>
      </w:r>
      <w:r w:rsidR="00AF4D91">
        <w:t xml:space="preserve">and </w:t>
      </w:r>
      <w:r>
        <w:t>3</w:t>
      </w:r>
      <w:r w:rsidR="00AF4D91">
        <w:t>6</w:t>
      </w:r>
      <w:r>
        <w:t>% corresponds to the commercial and government sectors. The final document has not been issued as of the consultation date (December 2021).</w:t>
      </w:r>
      <w:r>
        <w:rPr>
          <w:rStyle w:val="Refdenotaalpie"/>
        </w:rPr>
        <w:footnoteReference w:id="19"/>
      </w:r>
    </w:p>
    <w:p w14:paraId="5B544819" w14:textId="77777777" w:rsidR="00E14B60" w:rsidRDefault="00EB1DFD" w:rsidP="00E14B60">
      <w:pPr>
        <w:pStyle w:val="Prrafodelista"/>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pPr>
      <w:r>
        <w:rPr>
          <w:rFonts w:eastAsiaTheme="minorHAnsi" w:cstheme="minorBidi"/>
          <w:b/>
          <w:bCs/>
          <w:szCs w:val="22"/>
        </w:rPr>
        <w:t>El Salvador</w:t>
      </w:r>
      <w:r>
        <w:rPr>
          <w:rFonts w:eastAsiaTheme="minorHAnsi" w:cstheme="minorBidi"/>
          <w:szCs w:val="22"/>
        </w:rPr>
        <w:t xml:space="preserve"> </w:t>
      </w:r>
      <w:r>
        <w:t>provides market</w:t>
      </w:r>
      <w:r>
        <w:rPr>
          <w:rFonts w:eastAsiaTheme="minorHAnsi" w:cstheme="minorBidi"/>
          <w:szCs w:val="22"/>
        </w:rPr>
        <w:t xml:space="preserve"> opportunities</w:t>
      </w:r>
      <w:r w:rsidR="007763F9">
        <w:rPr>
          <w:rFonts w:eastAsiaTheme="minorHAnsi" w:cstheme="minorBidi"/>
          <w:szCs w:val="22"/>
        </w:rPr>
        <w:t xml:space="preserve"> in several RE technologies, especially outstanding for solar PV,</w:t>
      </w:r>
      <w:r>
        <w:rPr>
          <w:rFonts w:eastAsiaTheme="minorHAnsi" w:cstheme="minorBidi"/>
          <w:szCs w:val="22"/>
        </w:rPr>
        <w:t xml:space="preserve"> due to their policies to support investment in </w:t>
      </w:r>
      <w:r w:rsidR="007763F9">
        <w:rPr>
          <w:rFonts w:eastAsiaTheme="minorHAnsi" w:cstheme="minorBidi"/>
          <w:szCs w:val="22"/>
        </w:rPr>
        <w:t>them</w:t>
      </w:r>
      <w:r>
        <w:rPr>
          <w:rFonts w:eastAsiaTheme="minorHAnsi" w:cstheme="minorBidi"/>
          <w:szCs w:val="22"/>
        </w:rPr>
        <w:t>, despite their financial situation</w:t>
      </w:r>
      <w:r>
        <w:t>.</w:t>
      </w:r>
    </w:p>
    <w:p w14:paraId="70C4D281" w14:textId="27756B87" w:rsidR="00E14B60" w:rsidRDefault="00E14B60" w:rsidP="006658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pPr>
      <w:r w:rsidRPr="00E14B60">
        <w:t xml:space="preserve">On November 21 and three months after adopting bitcoin as a currency (September 7, 2021), Salvadorian President Nayib Bukele announced that his government will build "Bitcoin City," almost tax-free (only VAT will be charged). 50% of the city will be dedicated to residential areas; 20% will be sectors for social recreation; 10% will be green areas; industries and offices will occupy 8%; 7% will be destined for the installation of digital equipment; 3% will be for "eco-infrastructure", and the remaining 2% will be infrastructure necessary for the transportation. Bitcoin City will be built in the eastern region of La Unión </w:t>
      </w:r>
      <w:r w:rsidR="005014A8">
        <w:t xml:space="preserve">department, </w:t>
      </w:r>
      <w:r w:rsidRPr="00E14B60">
        <w:t>near the Conchagua volcano to harness geothermal energy to produce electricity.</w:t>
      </w:r>
      <w:r w:rsidR="007901A4">
        <w:rPr>
          <w:rStyle w:val="Refdenotaalpie"/>
        </w:rPr>
        <w:footnoteReference w:id="20"/>
      </w:r>
    </w:p>
    <w:p w14:paraId="2A21DA95" w14:textId="77777777" w:rsidR="00EB1DFD" w:rsidRDefault="00EB1DFD" w:rsidP="00336136">
      <w:pPr>
        <w:pStyle w:val="Prrafodelista"/>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pPr>
      <w:r>
        <w:rPr>
          <w:rFonts w:eastAsiaTheme="minorHAnsi"/>
          <w:b/>
          <w:bCs/>
        </w:rPr>
        <w:t>Nicaragua</w:t>
      </w:r>
      <w:r>
        <w:rPr>
          <w:rFonts w:eastAsiaTheme="minorHAnsi"/>
        </w:rPr>
        <w:t xml:space="preserve"> is </w:t>
      </w:r>
      <w:r>
        <w:t xml:space="preserve">uncertain because of its </w:t>
      </w:r>
      <w:r>
        <w:rPr>
          <w:rFonts w:eastAsiaTheme="minorHAnsi"/>
        </w:rPr>
        <w:t xml:space="preserve">political situation, which does not provide legal security for long-term investments. </w:t>
      </w:r>
    </w:p>
    <w:p w14:paraId="6FCB3F26" w14:textId="129AC4F0" w:rsidR="00EB1DFD" w:rsidRDefault="00EB1DFD" w:rsidP="00FF7126">
      <w:pPr>
        <w:pStyle w:val="Prrafodelista"/>
        <w:numPr>
          <w:ilvl w:val="0"/>
          <w:numId w:val="0"/>
        </w:numPr>
        <w:ind w:left="720"/>
      </w:pPr>
      <w:r w:rsidRPr="00FF7126">
        <w:rPr>
          <w:rFonts w:eastAsiaTheme="minorHAnsi"/>
          <w:b/>
          <w:bCs/>
        </w:rPr>
        <w:t>Costa Rica</w:t>
      </w:r>
      <w:r w:rsidR="006658F5" w:rsidRPr="00FF7126">
        <w:rPr>
          <w:rFonts w:eastAsiaTheme="minorHAnsi"/>
          <w:b/>
          <w:bCs/>
        </w:rPr>
        <w:t xml:space="preserve">. </w:t>
      </w:r>
      <w:r w:rsidR="006658F5">
        <w:t xml:space="preserve">On </w:t>
      </w:r>
      <w:r w:rsidR="006658F5" w:rsidRPr="00E67DAB">
        <w:t>December 8 (</w:t>
      </w:r>
      <w:r w:rsidR="00E67DAB" w:rsidRPr="00E67DAB">
        <w:t>2021</w:t>
      </w:r>
      <w:r w:rsidR="006658F5" w:rsidRPr="00E67DAB">
        <w:t>) the President</w:t>
      </w:r>
      <w:r w:rsidR="006658F5">
        <w:t xml:space="preserve"> of the Republic of Costa Rica signed the “Law 10086: Promotion and Regulation of Distributed Energy Resources from Renewable Sources”. It establishes the conditions to promote and regulate access, installation, connection, interaction, and control of distributed energy resources from renewable energy sources. With this law, consumers can generate their own energy in the same place where they consume it.</w:t>
      </w:r>
      <w:r w:rsidR="00FF7126">
        <w:t xml:space="preserve"> </w:t>
      </w:r>
      <w:r w:rsidR="006658F5">
        <w:t>The old practice of setting up a fixed limit of 15% on the capacity of the distribution circuit where the project is going to be connected, is eliminated.  The new law makes this limit subject to the results of studies of penetration capacity by distribution circuit. A maximum period of one year is established to have the regulatory and technical conditions necessary to make this law operational, including, among other, the definition of tariffs and pertinent regulations</w:t>
      </w:r>
      <w:r w:rsidR="006658F5">
        <w:rPr>
          <w:rFonts w:eastAsiaTheme="minorHAnsi"/>
        </w:rPr>
        <w:t>.</w:t>
      </w:r>
      <w:r w:rsidR="006658F5">
        <w:rPr>
          <w:rStyle w:val="Refdenotaalpie"/>
          <w:rFonts w:eastAsiaTheme="minorHAnsi"/>
        </w:rPr>
        <w:footnoteReference w:id="21"/>
      </w:r>
    </w:p>
    <w:p w14:paraId="63427769" w14:textId="06381D61" w:rsidR="00EB1DFD" w:rsidRDefault="00EB1DFD" w:rsidP="00336136">
      <w:pPr>
        <w:pStyle w:val="Prrafodelista"/>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rPr>
          <w:rFonts w:eastAsiaTheme="minorHAnsi"/>
        </w:rPr>
      </w:pPr>
      <w:r>
        <w:rPr>
          <w:rFonts w:eastAsiaTheme="minorHAnsi"/>
          <w:b/>
          <w:bCs/>
        </w:rPr>
        <w:t>Guatemala</w:t>
      </w:r>
      <w:r>
        <w:rPr>
          <w:rFonts w:eastAsiaTheme="minorHAnsi"/>
        </w:rPr>
        <w:t xml:space="preserve"> </w:t>
      </w:r>
      <w:r w:rsidR="007763F9">
        <w:rPr>
          <w:rFonts w:eastAsiaTheme="minorHAnsi"/>
        </w:rPr>
        <w:t xml:space="preserve">has the most modern electricity market structure in the region, but currently </w:t>
      </w:r>
      <w:r>
        <w:rPr>
          <w:rFonts w:eastAsiaTheme="minorHAnsi"/>
        </w:rPr>
        <w:t xml:space="preserve">has an </w:t>
      </w:r>
      <w:r w:rsidR="007763F9">
        <w:rPr>
          <w:rFonts w:eastAsiaTheme="minorHAnsi"/>
        </w:rPr>
        <w:t xml:space="preserve">energy </w:t>
      </w:r>
      <w:r>
        <w:rPr>
          <w:rFonts w:eastAsiaTheme="minorHAnsi"/>
        </w:rPr>
        <w:t>oversupply and depends on the opening of the regional market to continue growing.</w:t>
      </w:r>
    </w:p>
    <w:p w14:paraId="0AEF6B84" w14:textId="1DFC6AEA" w:rsidR="008F09B0" w:rsidRPr="00472B84" w:rsidRDefault="008F09B0" w:rsidP="00336136">
      <w:pPr>
        <w:spacing w:line="240" w:lineRule="auto"/>
      </w:pPr>
    </w:p>
    <w:p w14:paraId="0CA4FD09" w14:textId="7048FA07" w:rsidR="008F09B0" w:rsidRPr="00472B84" w:rsidRDefault="008F09B0" w:rsidP="00336136">
      <w:pPr>
        <w:pStyle w:val="Ttulo1"/>
        <w:spacing w:before="0" w:after="160" w:line="240" w:lineRule="auto"/>
      </w:pPr>
      <w:bookmarkStart w:id="29" w:name="_Toc90453973"/>
      <w:r w:rsidRPr="00472B84">
        <w:t xml:space="preserve">Recommendations for Action for the EU </w:t>
      </w:r>
      <w:r w:rsidR="007908C8" w:rsidRPr="00472B84">
        <w:t>and</w:t>
      </w:r>
      <w:r w:rsidRPr="00472B84">
        <w:t xml:space="preserve"> European Stakeholders</w:t>
      </w:r>
      <w:bookmarkEnd w:id="29"/>
    </w:p>
    <w:p w14:paraId="4671B13C" w14:textId="09C73E4C" w:rsidR="00D5241F" w:rsidRDefault="00D5241F" w:rsidP="00336136">
      <w:pPr>
        <w:pStyle w:val="Ttulo2"/>
        <w:spacing w:before="0" w:line="240" w:lineRule="auto"/>
      </w:pPr>
      <w:bookmarkStart w:id="30" w:name="_Toc90453974"/>
      <w:r>
        <w:t>European Green Deal and Paris Agreement</w:t>
      </w:r>
      <w:bookmarkEnd w:id="30"/>
    </w:p>
    <w:p w14:paraId="17E8DD12" w14:textId="6CB7A76D" w:rsidR="00D5241F" w:rsidRDefault="00D5241F" w:rsidP="00D5241F">
      <w:r w:rsidRPr="008E5091">
        <w:t xml:space="preserve">The proposed recommendations made are aligned with the </w:t>
      </w:r>
      <w:r>
        <w:t>European Green Deal</w:t>
      </w:r>
      <w:r w:rsidR="000833D4">
        <w:t xml:space="preserve">, especially </w:t>
      </w:r>
      <w:r w:rsidR="000833D4" w:rsidRPr="008E5091">
        <w:t>with</w:t>
      </w:r>
      <w:r>
        <w:t xml:space="preserve"> the third </w:t>
      </w:r>
      <w:r w:rsidRPr="008E5091">
        <w:t>principle o</w:t>
      </w:r>
      <w:r>
        <w:t>f</w:t>
      </w:r>
      <w:r w:rsidRPr="008E5091">
        <w:t xml:space="preserve"> energy</w:t>
      </w:r>
      <w:r>
        <w:t>:</w:t>
      </w:r>
      <w:r w:rsidRPr="008E5091">
        <w:t xml:space="preserve"> </w:t>
      </w:r>
      <w:r w:rsidR="000833D4">
        <w:t>“</w:t>
      </w:r>
      <w:r>
        <w:t>P</w:t>
      </w:r>
      <w:r w:rsidRPr="008E5091">
        <w:t>rioritizing energy efficiency, improving the energy performance of our buildings and developing a power sector based largely on renewable sources</w:t>
      </w:r>
      <w:r>
        <w:t>.</w:t>
      </w:r>
      <w:r w:rsidR="000833D4">
        <w:t>”</w:t>
      </w:r>
      <w:r>
        <w:t xml:space="preserve"> Also, </w:t>
      </w:r>
      <w:r w:rsidRPr="008E5091">
        <w:t>there is also an alignment with articles 9</w:t>
      </w:r>
      <w:r>
        <w:t>,</w:t>
      </w:r>
      <w:r w:rsidRPr="008E5091">
        <w:t xml:space="preserve"> 10 and 11 of the </w:t>
      </w:r>
      <w:r>
        <w:t>P</w:t>
      </w:r>
      <w:r w:rsidRPr="008E5091">
        <w:t xml:space="preserve">aris </w:t>
      </w:r>
      <w:r w:rsidR="000833D4">
        <w:t>A</w:t>
      </w:r>
      <w:r w:rsidRPr="008E5091">
        <w:t>greement.</w:t>
      </w:r>
    </w:p>
    <w:p w14:paraId="1C9BFDCE" w14:textId="5A55604F" w:rsidR="00D5241F" w:rsidRDefault="00D5241F" w:rsidP="00D5241F">
      <w:r w:rsidRPr="00AC30A3">
        <w:t>The European Commission adopted a set of proposals to make the EU's climate, energy, transport</w:t>
      </w:r>
      <w:r>
        <w:t>,</w:t>
      </w:r>
      <w:r w:rsidRPr="00AC30A3">
        <w:t xml:space="preserve"> and taxation policies fit for reducing net greenhouse gas emissions by at least 55% by 2030, compared to 1990 levels</w:t>
      </w:r>
      <w:r>
        <w:t>.</w:t>
      </w:r>
      <w:r>
        <w:rPr>
          <w:rStyle w:val="Refdenotaalpie"/>
        </w:rPr>
        <w:footnoteReference w:id="22"/>
      </w:r>
    </w:p>
    <w:p w14:paraId="27648906" w14:textId="168D5BA8" w:rsidR="00D5241F" w:rsidRPr="00016031" w:rsidRDefault="00D5241F" w:rsidP="00D5241F">
      <w:pPr>
        <w:spacing w:after="0"/>
      </w:pPr>
      <w:r w:rsidRPr="00016031">
        <w:t>Actions</w:t>
      </w:r>
      <w:r>
        <w:t>:</w:t>
      </w:r>
    </w:p>
    <w:p w14:paraId="56E98611" w14:textId="77777777" w:rsidR="00D5241F" w:rsidRPr="00016031" w:rsidRDefault="00D5241F" w:rsidP="00D5241F">
      <w:pPr>
        <w:pStyle w:val="Prrafodelista"/>
        <w:numPr>
          <w:ilvl w:val="0"/>
          <w:numId w:val="47"/>
        </w:numPr>
        <w:spacing w:line="259" w:lineRule="auto"/>
      </w:pPr>
      <w:r w:rsidRPr="00016031">
        <w:t>Climate</w:t>
      </w:r>
    </w:p>
    <w:p w14:paraId="57C920AD" w14:textId="77777777" w:rsidR="00D5241F" w:rsidRPr="00016031" w:rsidRDefault="00D5241F" w:rsidP="00D5241F">
      <w:pPr>
        <w:pStyle w:val="Prrafodelista"/>
        <w:numPr>
          <w:ilvl w:val="0"/>
          <w:numId w:val="47"/>
        </w:numPr>
        <w:spacing w:line="259" w:lineRule="auto"/>
      </w:pPr>
      <w:r w:rsidRPr="00016031">
        <w:t>Energy</w:t>
      </w:r>
    </w:p>
    <w:p w14:paraId="59F77945" w14:textId="77777777" w:rsidR="00D5241F" w:rsidRPr="00016031" w:rsidRDefault="00D5241F" w:rsidP="00D5241F">
      <w:pPr>
        <w:pStyle w:val="Prrafodelista"/>
        <w:numPr>
          <w:ilvl w:val="0"/>
          <w:numId w:val="47"/>
        </w:numPr>
        <w:spacing w:line="259" w:lineRule="auto"/>
      </w:pPr>
      <w:r w:rsidRPr="00016031">
        <w:t>Agriculture</w:t>
      </w:r>
    </w:p>
    <w:p w14:paraId="05F41F8A" w14:textId="77777777" w:rsidR="00D5241F" w:rsidRPr="00016031" w:rsidRDefault="00D5241F" w:rsidP="00D5241F">
      <w:pPr>
        <w:pStyle w:val="Prrafodelista"/>
        <w:numPr>
          <w:ilvl w:val="0"/>
          <w:numId w:val="47"/>
        </w:numPr>
        <w:spacing w:line="259" w:lineRule="auto"/>
      </w:pPr>
      <w:r w:rsidRPr="00016031">
        <w:t>Industry</w:t>
      </w:r>
    </w:p>
    <w:p w14:paraId="016AB1F3" w14:textId="77777777" w:rsidR="00D5241F" w:rsidRPr="00016031" w:rsidRDefault="00D5241F" w:rsidP="00D5241F">
      <w:pPr>
        <w:pStyle w:val="Prrafodelista"/>
        <w:numPr>
          <w:ilvl w:val="0"/>
          <w:numId w:val="47"/>
        </w:numPr>
        <w:spacing w:line="259" w:lineRule="auto"/>
      </w:pPr>
      <w:r w:rsidRPr="00016031">
        <w:t>Environment and oceans</w:t>
      </w:r>
    </w:p>
    <w:p w14:paraId="75396F52" w14:textId="77777777" w:rsidR="00D5241F" w:rsidRPr="00016031" w:rsidRDefault="00D5241F" w:rsidP="00D5241F">
      <w:pPr>
        <w:pStyle w:val="Prrafodelista"/>
        <w:numPr>
          <w:ilvl w:val="0"/>
          <w:numId w:val="47"/>
        </w:numPr>
        <w:spacing w:line="259" w:lineRule="auto"/>
      </w:pPr>
      <w:r w:rsidRPr="00016031">
        <w:t>Transport</w:t>
      </w:r>
    </w:p>
    <w:p w14:paraId="377097E6" w14:textId="77777777" w:rsidR="00D5241F" w:rsidRPr="00016031" w:rsidRDefault="00D5241F" w:rsidP="00D5241F">
      <w:pPr>
        <w:pStyle w:val="Prrafodelista"/>
        <w:numPr>
          <w:ilvl w:val="0"/>
          <w:numId w:val="47"/>
        </w:numPr>
        <w:spacing w:line="259" w:lineRule="auto"/>
      </w:pPr>
      <w:r w:rsidRPr="00016031">
        <w:t>Finance and regional development</w:t>
      </w:r>
    </w:p>
    <w:p w14:paraId="7580225A" w14:textId="77777777" w:rsidR="00D5241F" w:rsidRPr="00016031" w:rsidRDefault="00D5241F" w:rsidP="00D5241F">
      <w:pPr>
        <w:pStyle w:val="Prrafodelista"/>
        <w:numPr>
          <w:ilvl w:val="0"/>
          <w:numId w:val="47"/>
        </w:numPr>
        <w:spacing w:after="160" w:line="259" w:lineRule="auto"/>
        <w:ind w:left="714" w:hanging="357"/>
      </w:pPr>
      <w:r w:rsidRPr="00016031">
        <w:t>Research and innovation</w:t>
      </w:r>
    </w:p>
    <w:tbl>
      <w:tblPr>
        <w:tblStyle w:val="Tablaconcuadrcula"/>
        <w:tblW w:w="5000" w:type="pct"/>
        <w:jc w:val="center"/>
        <w:tblLook w:val="04A0" w:firstRow="1" w:lastRow="0" w:firstColumn="1" w:lastColumn="0" w:noHBand="0" w:noVBand="1"/>
      </w:tblPr>
      <w:tblGrid>
        <w:gridCol w:w="2262"/>
        <w:gridCol w:w="6236"/>
      </w:tblGrid>
      <w:tr w:rsidR="00D5241F" w:rsidRPr="002E7D1C" w14:paraId="5EC474B5" w14:textId="77777777" w:rsidTr="00D5241F">
        <w:trPr>
          <w:jc w:val="center"/>
        </w:trPr>
        <w:tc>
          <w:tcPr>
            <w:tcW w:w="1331" w:type="pct"/>
          </w:tcPr>
          <w:p w14:paraId="17BD8BD4" w14:textId="77777777" w:rsidR="00D5241F" w:rsidRPr="002E7D1C" w:rsidRDefault="00D5241F" w:rsidP="00EC12ED">
            <w:pPr>
              <w:jc w:val="center"/>
              <w:rPr>
                <w:b/>
                <w:bCs/>
                <w:szCs w:val="20"/>
              </w:rPr>
            </w:pPr>
            <w:r w:rsidRPr="002E7D1C">
              <w:rPr>
                <w:b/>
                <w:bCs/>
                <w:szCs w:val="20"/>
              </w:rPr>
              <w:t>European Green Deal</w:t>
            </w:r>
          </w:p>
        </w:tc>
        <w:tc>
          <w:tcPr>
            <w:tcW w:w="3669" w:type="pct"/>
          </w:tcPr>
          <w:p w14:paraId="5DAA0667" w14:textId="10AFD089" w:rsidR="00D5241F" w:rsidRPr="002E7D1C" w:rsidRDefault="00D5241F" w:rsidP="00EC12ED">
            <w:pPr>
              <w:jc w:val="center"/>
              <w:rPr>
                <w:b/>
                <w:bCs/>
                <w:szCs w:val="20"/>
              </w:rPr>
            </w:pPr>
            <w:r w:rsidRPr="002E7D1C">
              <w:rPr>
                <w:b/>
                <w:bCs/>
                <w:szCs w:val="20"/>
              </w:rPr>
              <w:t>Recommendations</w:t>
            </w:r>
            <w:r w:rsidR="000833D4">
              <w:rPr>
                <w:b/>
                <w:bCs/>
                <w:szCs w:val="20"/>
              </w:rPr>
              <w:t xml:space="preserve"> </w:t>
            </w:r>
            <w:r w:rsidR="00B21598">
              <w:rPr>
                <w:b/>
                <w:bCs/>
                <w:szCs w:val="20"/>
              </w:rPr>
              <w:t>o</w:t>
            </w:r>
            <w:r w:rsidR="000833D4">
              <w:rPr>
                <w:b/>
                <w:bCs/>
                <w:szCs w:val="20"/>
              </w:rPr>
              <w:t xml:space="preserve">n this </w:t>
            </w:r>
            <w:r w:rsidR="00B21598">
              <w:rPr>
                <w:b/>
                <w:bCs/>
                <w:szCs w:val="20"/>
              </w:rPr>
              <w:t>R</w:t>
            </w:r>
            <w:r w:rsidR="000833D4">
              <w:rPr>
                <w:b/>
                <w:bCs/>
                <w:szCs w:val="20"/>
              </w:rPr>
              <w:t>eport</w:t>
            </w:r>
          </w:p>
        </w:tc>
      </w:tr>
      <w:tr w:rsidR="00D5241F" w:rsidRPr="006F20A9" w14:paraId="19E1472E" w14:textId="77777777" w:rsidTr="00D5241F">
        <w:trPr>
          <w:jc w:val="center"/>
        </w:trPr>
        <w:tc>
          <w:tcPr>
            <w:tcW w:w="1331" w:type="pct"/>
          </w:tcPr>
          <w:p w14:paraId="31BE350C" w14:textId="77777777" w:rsidR="00D5241F" w:rsidRPr="002E7D1C" w:rsidRDefault="00D5241F" w:rsidP="00EC12ED">
            <w:pPr>
              <w:rPr>
                <w:szCs w:val="20"/>
              </w:rPr>
            </w:pPr>
            <w:r w:rsidRPr="002E7D1C">
              <w:rPr>
                <w:szCs w:val="20"/>
              </w:rPr>
              <w:t>Principle on energy:</w:t>
            </w:r>
          </w:p>
          <w:p w14:paraId="6905D969" w14:textId="5839C976" w:rsidR="00D5241F" w:rsidRPr="002E7D1C" w:rsidRDefault="00D5241F" w:rsidP="000833D4">
            <w:pPr>
              <w:jc w:val="left"/>
              <w:rPr>
                <w:szCs w:val="20"/>
              </w:rPr>
            </w:pPr>
            <w:r w:rsidRPr="002E7D1C">
              <w:rPr>
                <w:szCs w:val="20"/>
              </w:rPr>
              <w:t xml:space="preserve">3. </w:t>
            </w:r>
            <w:r w:rsidR="000833D4">
              <w:rPr>
                <w:szCs w:val="20"/>
              </w:rPr>
              <w:t>P</w:t>
            </w:r>
            <w:r w:rsidRPr="002E7D1C">
              <w:rPr>
                <w:szCs w:val="20"/>
              </w:rPr>
              <w:t>rioritizing energy efficiency, improving the energy performance of our buildings and developing a power sector based largely on renewable sources</w:t>
            </w:r>
          </w:p>
        </w:tc>
        <w:tc>
          <w:tcPr>
            <w:tcW w:w="3669" w:type="pct"/>
          </w:tcPr>
          <w:p w14:paraId="207278FF" w14:textId="77777777" w:rsidR="00D5241F" w:rsidRPr="002E7D1C" w:rsidRDefault="00D5241F" w:rsidP="00D5241F">
            <w:pPr>
              <w:pStyle w:val="Prrafodelista"/>
              <w:numPr>
                <w:ilvl w:val="0"/>
                <w:numId w:val="48"/>
              </w:numPr>
              <w:ind w:left="174" w:hanging="218"/>
            </w:pPr>
            <w:r w:rsidRPr="002E7D1C">
              <w:t>Support hybrid solar-hydro projects (small scale), mainly located at the end of distribution networks where energy is poor quality.</w:t>
            </w:r>
          </w:p>
          <w:p w14:paraId="62989F08" w14:textId="77777777" w:rsidR="00D5241F" w:rsidRPr="002E7D1C" w:rsidRDefault="00D5241F" w:rsidP="00D5241F">
            <w:pPr>
              <w:pStyle w:val="Prrafodelista"/>
              <w:numPr>
                <w:ilvl w:val="0"/>
                <w:numId w:val="48"/>
              </w:numPr>
              <w:ind w:left="174" w:hanging="218"/>
            </w:pPr>
            <w:r w:rsidRPr="002E7D1C">
              <w:t>Further development of high enthalpy geothermal energy must be carried out under strict environmental regulations that minimize its impact.</w:t>
            </w:r>
          </w:p>
          <w:p w14:paraId="1419F24A" w14:textId="77777777" w:rsidR="00D5241F" w:rsidRPr="002E7D1C" w:rsidRDefault="00D5241F" w:rsidP="00D5241F">
            <w:pPr>
              <w:pStyle w:val="Prrafodelista"/>
              <w:numPr>
                <w:ilvl w:val="0"/>
                <w:numId w:val="48"/>
              </w:numPr>
              <w:ind w:left="174" w:hanging="218"/>
            </w:pPr>
            <w:r w:rsidRPr="002E7D1C">
              <w:t>The use of high-capacity battery banks, both to provide generation stability and support distributed generation projects and for electromobility, should be studied considering the product's entire life cycle.</w:t>
            </w:r>
          </w:p>
          <w:p w14:paraId="4270C871" w14:textId="77777777" w:rsidR="00D5241F" w:rsidRDefault="00D5241F" w:rsidP="00D5241F">
            <w:pPr>
              <w:pStyle w:val="Prrafodelista"/>
              <w:numPr>
                <w:ilvl w:val="0"/>
                <w:numId w:val="48"/>
              </w:numPr>
              <w:ind w:left="174" w:hanging="218"/>
            </w:pPr>
            <w:r w:rsidRPr="002E7D1C">
              <w:t>Medium and large-scale wind and solar power plants are still recommended but taking care of environmental impacts on soil and biodiversity.</w:t>
            </w:r>
          </w:p>
          <w:p w14:paraId="03D4EFCF" w14:textId="1FCEE3B4" w:rsidR="00D5241F" w:rsidRDefault="00D5241F" w:rsidP="00D5241F">
            <w:pPr>
              <w:pStyle w:val="Prrafodelista"/>
              <w:numPr>
                <w:ilvl w:val="0"/>
                <w:numId w:val="48"/>
              </w:numPr>
              <w:ind w:left="174" w:hanging="218"/>
            </w:pPr>
            <w:r>
              <w:t xml:space="preserve">5.1 </w:t>
            </w:r>
            <w:r w:rsidRPr="00016031">
              <w:t>Desired policy and regulatory changes</w:t>
            </w:r>
            <w:r>
              <w:t>.</w:t>
            </w:r>
          </w:p>
          <w:p w14:paraId="00CCE893" w14:textId="5B7E855B" w:rsidR="00D5241F" w:rsidRDefault="00D5241F" w:rsidP="00D5241F">
            <w:pPr>
              <w:pStyle w:val="Prrafodelista"/>
              <w:numPr>
                <w:ilvl w:val="0"/>
                <w:numId w:val="48"/>
              </w:numPr>
              <w:ind w:left="174" w:hanging="218"/>
            </w:pPr>
            <w:r>
              <w:t xml:space="preserve">5. 2 </w:t>
            </w:r>
            <w:r w:rsidRPr="00016031">
              <w:t>Gap analysis of technology transfer and capital investment</w:t>
            </w:r>
            <w:r>
              <w:t>.</w:t>
            </w:r>
          </w:p>
          <w:p w14:paraId="5002F2FE" w14:textId="5F023C97" w:rsidR="00D5241F" w:rsidRPr="00016031" w:rsidRDefault="00D5241F" w:rsidP="00D5241F">
            <w:pPr>
              <w:pStyle w:val="Prrafodelista"/>
              <w:numPr>
                <w:ilvl w:val="0"/>
                <w:numId w:val="48"/>
              </w:numPr>
              <w:ind w:left="174" w:hanging="218"/>
            </w:pPr>
            <w:r>
              <w:t xml:space="preserve">5.3 </w:t>
            </w:r>
            <w:r w:rsidRPr="00016031">
              <w:t>Recommendations on financial mechanisms to invest in RE market niches</w:t>
            </w:r>
            <w:r>
              <w:t>.</w:t>
            </w:r>
          </w:p>
          <w:p w14:paraId="1C30DED5" w14:textId="77777777" w:rsidR="00D5241F" w:rsidRPr="002E7D1C" w:rsidRDefault="00D5241F" w:rsidP="00EC12ED">
            <w:pPr>
              <w:rPr>
                <w:szCs w:val="20"/>
              </w:rPr>
            </w:pPr>
          </w:p>
        </w:tc>
      </w:tr>
    </w:tbl>
    <w:p w14:paraId="489F61D5" w14:textId="77777777" w:rsidR="00D5241F" w:rsidRPr="008E5091" w:rsidRDefault="00D5241F" w:rsidP="00D5241F"/>
    <w:p w14:paraId="2D02F0C5" w14:textId="04A9D37C" w:rsidR="00D5241F" w:rsidRDefault="00B21598" w:rsidP="007A7A14">
      <w:r w:rsidRPr="00665941">
        <w:t>The Paris Agreement a</w:t>
      </w:r>
      <w:r w:rsidR="00D5241F" w:rsidRPr="00665941">
        <w:t>ims to strengthen the global response to the threat of climate change, in the context of sustainable development and efforts to eradicate poverty, including</w:t>
      </w:r>
      <w:r w:rsidR="008B11E7" w:rsidRPr="00665941">
        <w:t>:</w:t>
      </w:r>
    </w:p>
    <w:p w14:paraId="64DB7494" w14:textId="6ADA405F" w:rsidR="00D5241F" w:rsidRPr="00AC30A3" w:rsidRDefault="00D5241F" w:rsidP="007A7A14">
      <w:pPr>
        <w:pStyle w:val="Prrafodelista"/>
        <w:numPr>
          <w:ilvl w:val="0"/>
          <w:numId w:val="49"/>
        </w:numPr>
      </w:pPr>
      <w:r w:rsidRPr="00AC30A3">
        <w:t>Holding the increase in the global average temperature to well below</w:t>
      </w:r>
      <w:r>
        <w:t xml:space="preserve"> </w:t>
      </w:r>
      <w:r w:rsidRPr="00AC30A3">
        <w:t>2°C above pre-industrial levels and pursuing efforts to limit the temperature</w:t>
      </w:r>
      <w:r>
        <w:t xml:space="preserve"> </w:t>
      </w:r>
      <w:r w:rsidRPr="00AC30A3">
        <w:t>increase to 1.5°C above pre-industrial levels</w:t>
      </w:r>
      <w:r>
        <w:t>.</w:t>
      </w:r>
    </w:p>
    <w:p w14:paraId="521448C0" w14:textId="3DA77DFE" w:rsidR="00D5241F" w:rsidRPr="00AC30A3" w:rsidRDefault="00D5241F" w:rsidP="007A7A14">
      <w:pPr>
        <w:pStyle w:val="Prrafodelista"/>
        <w:numPr>
          <w:ilvl w:val="0"/>
          <w:numId w:val="49"/>
        </w:numPr>
      </w:pPr>
      <w:r w:rsidRPr="00AC30A3">
        <w:t>Increasing the ability to adapt to the adverse impacts of climate</w:t>
      </w:r>
      <w:r>
        <w:t xml:space="preserve"> </w:t>
      </w:r>
      <w:r w:rsidRPr="00AC30A3">
        <w:t>change and foster climate resilience and low greenhouse gas emissions</w:t>
      </w:r>
      <w:r>
        <w:t xml:space="preserve"> </w:t>
      </w:r>
      <w:r w:rsidRPr="00AC30A3">
        <w:t>development, in a manner that does not threaten food production; and</w:t>
      </w:r>
    </w:p>
    <w:p w14:paraId="3BAD94D8" w14:textId="26A2A6B7" w:rsidR="00D5241F" w:rsidRDefault="00D5241F" w:rsidP="007A7A14">
      <w:pPr>
        <w:pStyle w:val="Prrafodelista"/>
        <w:numPr>
          <w:ilvl w:val="0"/>
          <w:numId w:val="49"/>
        </w:numPr>
        <w:spacing w:after="160"/>
        <w:ind w:left="714" w:hanging="357"/>
      </w:pPr>
      <w:r w:rsidRPr="00AC30A3">
        <w:t>Making finance flows consistent with a pathway towards low</w:t>
      </w:r>
      <w:r>
        <w:t xml:space="preserve"> </w:t>
      </w:r>
      <w:r w:rsidRPr="00AC30A3">
        <w:t>greenhouse gas emissions and climate-resilient development.</w:t>
      </w:r>
      <w:r w:rsidR="007A7A14">
        <w:rPr>
          <w:rStyle w:val="Refdenotaalpie"/>
        </w:rPr>
        <w:footnoteReference w:id="23"/>
      </w:r>
    </w:p>
    <w:tbl>
      <w:tblPr>
        <w:tblStyle w:val="Tablaconcuadrcula"/>
        <w:tblW w:w="5000" w:type="pct"/>
        <w:jc w:val="center"/>
        <w:tblLook w:val="04A0" w:firstRow="1" w:lastRow="0" w:firstColumn="1" w:lastColumn="0" w:noHBand="0" w:noVBand="1"/>
      </w:tblPr>
      <w:tblGrid>
        <w:gridCol w:w="5949"/>
        <w:gridCol w:w="2549"/>
      </w:tblGrid>
      <w:tr w:rsidR="007A7A14" w:rsidRPr="00016031" w14:paraId="24FBEE69" w14:textId="77777777" w:rsidTr="007A7A14">
        <w:trPr>
          <w:jc w:val="center"/>
        </w:trPr>
        <w:tc>
          <w:tcPr>
            <w:tcW w:w="3500" w:type="pct"/>
          </w:tcPr>
          <w:p w14:paraId="53477CFA" w14:textId="77777777" w:rsidR="007A7A14" w:rsidRPr="00016031" w:rsidRDefault="007A7A14" w:rsidP="00EC12ED">
            <w:pPr>
              <w:jc w:val="center"/>
              <w:rPr>
                <w:b/>
                <w:bCs/>
                <w:szCs w:val="20"/>
              </w:rPr>
            </w:pPr>
            <w:r w:rsidRPr="00016031">
              <w:rPr>
                <w:b/>
                <w:bCs/>
                <w:szCs w:val="20"/>
              </w:rPr>
              <w:t>Paris Agreement</w:t>
            </w:r>
          </w:p>
        </w:tc>
        <w:tc>
          <w:tcPr>
            <w:tcW w:w="1500" w:type="pct"/>
          </w:tcPr>
          <w:p w14:paraId="789270BD" w14:textId="11F05135" w:rsidR="007A7A14" w:rsidRPr="00016031" w:rsidRDefault="00B21598" w:rsidP="00EC12ED">
            <w:pPr>
              <w:jc w:val="center"/>
              <w:rPr>
                <w:b/>
                <w:bCs/>
                <w:szCs w:val="20"/>
              </w:rPr>
            </w:pPr>
            <w:r w:rsidRPr="00B21598">
              <w:rPr>
                <w:b/>
                <w:bCs/>
                <w:szCs w:val="20"/>
              </w:rPr>
              <w:t>Recommendations on this Report</w:t>
            </w:r>
          </w:p>
        </w:tc>
      </w:tr>
      <w:tr w:rsidR="007A7A14" w:rsidRPr="006F20A9" w14:paraId="01A83E7F" w14:textId="77777777" w:rsidTr="007A7A14">
        <w:trPr>
          <w:jc w:val="center"/>
        </w:trPr>
        <w:tc>
          <w:tcPr>
            <w:tcW w:w="3500" w:type="pct"/>
          </w:tcPr>
          <w:p w14:paraId="6FF5ED69" w14:textId="77777777" w:rsidR="007A7A14" w:rsidRPr="00016031" w:rsidRDefault="007A7A14" w:rsidP="00EC12ED">
            <w:pPr>
              <w:rPr>
                <w:szCs w:val="20"/>
              </w:rPr>
            </w:pPr>
            <w:r w:rsidRPr="00016031">
              <w:rPr>
                <w:szCs w:val="20"/>
              </w:rPr>
              <w:t>Article 4 Each Party shall prepare, communicate, and maintain successive nationally determined contributions that it intends to achieve.</w:t>
            </w:r>
          </w:p>
        </w:tc>
        <w:tc>
          <w:tcPr>
            <w:tcW w:w="1500" w:type="pct"/>
          </w:tcPr>
          <w:p w14:paraId="48A1C8FC" w14:textId="77777777" w:rsidR="007A7A14" w:rsidRPr="00016031" w:rsidRDefault="007A7A14" w:rsidP="00EC12ED">
            <w:pPr>
              <w:rPr>
                <w:szCs w:val="20"/>
              </w:rPr>
            </w:pPr>
          </w:p>
        </w:tc>
      </w:tr>
      <w:tr w:rsidR="007A7A14" w:rsidRPr="006F20A9" w14:paraId="5FDCC87D" w14:textId="77777777" w:rsidTr="007A7A14">
        <w:trPr>
          <w:jc w:val="center"/>
        </w:trPr>
        <w:tc>
          <w:tcPr>
            <w:tcW w:w="3500" w:type="pct"/>
          </w:tcPr>
          <w:p w14:paraId="79D82761" w14:textId="26761E7E" w:rsidR="007A7A14" w:rsidRPr="00016031" w:rsidRDefault="007A7A14" w:rsidP="007A7A14">
            <w:pPr>
              <w:rPr>
                <w:szCs w:val="20"/>
              </w:rPr>
            </w:pPr>
            <w:r w:rsidRPr="00016031">
              <w:rPr>
                <w:szCs w:val="20"/>
              </w:rPr>
              <w:t>Article 7 Parties hereby establish the global goal on adaptation of enhancing adaptive</w:t>
            </w:r>
            <w:r>
              <w:rPr>
                <w:szCs w:val="20"/>
              </w:rPr>
              <w:t xml:space="preserve"> </w:t>
            </w:r>
            <w:r w:rsidRPr="00016031">
              <w:rPr>
                <w:szCs w:val="20"/>
              </w:rPr>
              <w:t>capacity, strengthening resilience and reducing vulnerability to climate change,</w:t>
            </w:r>
            <w:r>
              <w:rPr>
                <w:szCs w:val="20"/>
              </w:rPr>
              <w:t xml:space="preserve"> </w:t>
            </w:r>
            <w:r w:rsidRPr="00016031">
              <w:rPr>
                <w:szCs w:val="20"/>
              </w:rPr>
              <w:t>with a view to contributing to sustainable development</w:t>
            </w:r>
            <w:r>
              <w:rPr>
                <w:szCs w:val="20"/>
              </w:rPr>
              <w:t>.</w:t>
            </w:r>
          </w:p>
        </w:tc>
        <w:tc>
          <w:tcPr>
            <w:tcW w:w="1500" w:type="pct"/>
          </w:tcPr>
          <w:p w14:paraId="746B9FC2" w14:textId="77777777" w:rsidR="007A7A14" w:rsidRPr="00016031" w:rsidRDefault="007A7A14" w:rsidP="00EC12ED">
            <w:pPr>
              <w:rPr>
                <w:szCs w:val="20"/>
              </w:rPr>
            </w:pPr>
          </w:p>
        </w:tc>
      </w:tr>
      <w:tr w:rsidR="007A7A14" w:rsidRPr="006F20A9" w14:paraId="745066EC" w14:textId="77777777" w:rsidTr="007A7A14">
        <w:trPr>
          <w:jc w:val="center"/>
        </w:trPr>
        <w:tc>
          <w:tcPr>
            <w:tcW w:w="3500" w:type="pct"/>
          </w:tcPr>
          <w:p w14:paraId="2CA69E34" w14:textId="1CB6AFC8" w:rsidR="007A7A14" w:rsidRPr="00016031" w:rsidRDefault="007A7A14" w:rsidP="007A7A14">
            <w:pPr>
              <w:rPr>
                <w:szCs w:val="20"/>
              </w:rPr>
            </w:pPr>
            <w:r w:rsidRPr="00016031">
              <w:rPr>
                <w:szCs w:val="20"/>
              </w:rPr>
              <w:t>Article 9 Developed country Parties shall provide financial resources to assist</w:t>
            </w:r>
            <w:r>
              <w:rPr>
                <w:szCs w:val="20"/>
              </w:rPr>
              <w:t xml:space="preserve"> </w:t>
            </w:r>
            <w:r w:rsidRPr="00016031">
              <w:rPr>
                <w:szCs w:val="20"/>
              </w:rPr>
              <w:t>developing country Parties with respect to both mitigation and adaptation in</w:t>
            </w:r>
            <w:r>
              <w:rPr>
                <w:szCs w:val="20"/>
              </w:rPr>
              <w:t xml:space="preserve"> </w:t>
            </w:r>
            <w:r w:rsidRPr="00016031">
              <w:rPr>
                <w:szCs w:val="20"/>
              </w:rPr>
              <w:t>continuation of their existing obligations under the Convention</w:t>
            </w:r>
            <w:r>
              <w:rPr>
                <w:szCs w:val="20"/>
              </w:rPr>
              <w:t>.</w:t>
            </w:r>
          </w:p>
        </w:tc>
        <w:tc>
          <w:tcPr>
            <w:tcW w:w="1500" w:type="pct"/>
          </w:tcPr>
          <w:p w14:paraId="0F100304" w14:textId="24F79699" w:rsidR="007A7A14" w:rsidRPr="00016031" w:rsidRDefault="007A7A14" w:rsidP="007A7A14">
            <w:r>
              <w:t>5.3. Recommendations</w:t>
            </w:r>
            <w:r w:rsidRPr="00016031">
              <w:t xml:space="preserve"> on financial mechanisms to invest in RE market niches</w:t>
            </w:r>
          </w:p>
        </w:tc>
      </w:tr>
      <w:tr w:rsidR="007A7A14" w:rsidRPr="006F20A9" w14:paraId="189920B2" w14:textId="77777777" w:rsidTr="007A7A14">
        <w:trPr>
          <w:jc w:val="center"/>
        </w:trPr>
        <w:tc>
          <w:tcPr>
            <w:tcW w:w="3500" w:type="pct"/>
          </w:tcPr>
          <w:p w14:paraId="724C4484" w14:textId="6F7EC896" w:rsidR="007A7A14" w:rsidRPr="00016031" w:rsidRDefault="007A7A14" w:rsidP="007A7A14">
            <w:pPr>
              <w:rPr>
                <w:szCs w:val="20"/>
              </w:rPr>
            </w:pPr>
            <w:r w:rsidRPr="00016031">
              <w:rPr>
                <w:szCs w:val="20"/>
              </w:rPr>
              <w:t>Article 10 Parties share a long-term vision on the importance of fully realizing</w:t>
            </w:r>
            <w:r>
              <w:rPr>
                <w:szCs w:val="20"/>
              </w:rPr>
              <w:t xml:space="preserve"> </w:t>
            </w:r>
            <w:r w:rsidRPr="00016031">
              <w:rPr>
                <w:szCs w:val="20"/>
              </w:rPr>
              <w:t>technology development and transfer to improve resilience to climate change and to reduce greenhouse gas emissions</w:t>
            </w:r>
          </w:p>
        </w:tc>
        <w:tc>
          <w:tcPr>
            <w:tcW w:w="1500" w:type="pct"/>
          </w:tcPr>
          <w:p w14:paraId="72ED6719" w14:textId="39340A50" w:rsidR="007A7A14" w:rsidRPr="00016031" w:rsidRDefault="007A7A14" w:rsidP="007A7A14">
            <w:pPr>
              <w:rPr>
                <w:szCs w:val="20"/>
              </w:rPr>
            </w:pPr>
            <w:r w:rsidRPr="00016031">
              <w:rPr>
                <w:szCs w:val="20"/>
              </w:rPr>
              <w:t>5.2. Gap analysis of technology transfer and capital investment</w:t>
            </w:r>
          </w:p>
        </w:tc>
      </w:tr>
      <w:tr w:rsidR="007A7A14" w:rsidRPr="006F20A9" w14:paraId="6716A882" w14:textId="77777777" w:rsidTr="007A7A14">
        <w:trPr>
          <w:jc w:val="center"/>
        </w:trPr>
        <w:tc>
          <w:tcPr>
            <w:tcW w:w="3500" w:type="pct"/>
          </w:tcPr>
          <w:p w14:paraId="4DE3D444" w14:textId="2CBDA4D1" w:rsidR="007A7A14" w:rsidRPr="00016031" w:rsidRDefault="007A7A14" w:rsidP="007A7A14">
            <w:pPr>
              <w:rPr>
                <w:szCs w:val="20"/>
              </w:rPr>
            </w:pPr>
            <w:r w:rsidRPr="00016031">
              <w:rPr>
                <w:szCs w:val="20"/>
              </w:rPr>
              <w:t>Article 11 Capacity-building under this Agreement should enhance the capacity and</w:t>
            </w:r>
            <w:r>
              <w:rPr>
                <w:szCs w:val="20"/>
              </w:rPr>
              <w:t xml:space="preserve"> </w:t>
            </w:r>
            <w:r w:rsidRPr="00016031">
              <w:rPr>
                <w:szCs w:val="20"/>
              </w:rPr>
              <w:t>ability of developing country Parties…,</w:t>
            </w:r>
            <w:r>
              <w:rPr>
                <w:szCs w:val="20"/>
              </w:rPr>
              <w:t xml:space="preserve"> </w:t>
            </w:r>
            <w:r w:rsidRPr="00016031">
              <w:rPr>
                <w:szCs w:val="20"/>
              </w:rPr>
              <w:t>to take effective climate change action, including, inter alia, to implement adaptation</w:t>
            </w:r>
            <w:r>
              <w:rPr>
                <w:szCs w:val="20"/>
              </w:rPr>
              <w:t xml:space="preserve"> </w:t>
            </w:r>
            <w:r w:rsidRPr="00016031">
              <w:rPr>
                <w:szCs w:val="20"/>
              </w:rPr>
              <w:t>and mitigation actions, and should facilitate technology development, dissemination and deployment, access to climate finance</w:t>
            </w:r>
          </w:p>
        </w:tc>
        <w:tc>
          <w:tcPr>
            <w:tcW w:w="1500" w:type="pct"/>
          </w:tcPr>
          <w:p w14:paraId="385319EF" w14:textId="4F6EF039" w:rsidR="007A7A14" w:rsidRPr="00016031" w:rsidRDefault="007A7A14" w:rsidP="007A7A14">
            <w:pPr>
              <w:rPr>
                <w:szCs w:val="20"/>
              </w:rPr>
            </w:pPr>
            <w:r w:rsidRPr="00016031">
              <w:rPr>
                <w:szCs w:val="20"/>
              </w:rPr>
              <w:t>5.1. Desired policy and regulatory changes</w:t>
            </w:r>
          </w:p>
        </w:tc>
      </w:tr>
    </w:tbl>
    <w:p w14:paraId="278E90E4" w14:textId="5BD71D94" w:rsidR="007A7A14" w:rsidRDefault="007A7A14" w:rsidP="007A7A14"/>
    <w:p w14:paraId="2C01D138" w14:textId="6900BB25" w:rsidR="00323415" w:rsidRDefault="008B11E7" w:rsidP="00323415">
      <w:r>
        <w:t xml:space="preserve">More specifically, the </w:t>
      </w:r>
      <w:r w:rsidR="002770F1">
        <w:t xml:space="preserve">results of COP26 (Glasgow, Nov.2021) show an alignment with the actions proposed in this report to the EU. </w:t>
      </w:r>
      <w:r w:rsidR="00323415">
        <w:t>The summit resulted in the Glasgow Climate Pact (GCP) — agreed to by all participating countries, which in combination with other commitments made to date, could limit the growth of atmospheric temperatures to less than 2 degrees Celsius. However, th</w:t>
      </w:r>
      <w:r w:rsidR="007A33EF">
        <w:t>ose</w:t>
      </w:r>
      <w:r w:rsidR="00323415">
        <w:t xml:space="preserve"> commitments alone do not deliver the change necessary to limit climate change; without the appropriate policies, investment, and technologies, any agreements are likely to fail to achieve their stated aims.</w:t>
      </w:r>
      <w:r w:rsidR="00323415">
        <w:rPr>
          <w:rStyle w:val="Refdenotaalpie"/>
        </w:rPr>
        <w:footnoteReference w:id="24"/>
      </w:r>
      <w:r w:rsidR="00D90E78">
        <w:t xml:space="preserve">  COP26 main results focus on </w:t>
      </w:r>
      <w:r w:rsidR="00D90E78" w:rsidRPr="00D90E78">
        <w:t>collective commitments to curb methane emissions, to halt and reverse forest loss, align the finance sector with net-zero by 2050, ditch the internal combustion engine, accelerate the phase-out of coal, and end international financing for fossil fuels</w:t>
      </w:r>
      <w:r w:rsidR="00D90E78">
        <w:t xml:space="preserve">.  </w:t>
      </w:r>
    </w:p>
    <w:p w14:paraId="5CC40A70" w14:textId="77777777" w:rsidR="00323415" w:rsidRDefault="00323415" w:rsidP="00323415"/>
    <w:p w14:paraId="67D15442" w14:textId="77777777" w:rsidR="00323415" w:rsidRDefault="00323415" w:rsidP="00296187">
      <w:pPr>
        <w:spacing w:after="0"/>
        <w:jc w:val="left"/>
      </w:pPr>
      <w:r>
        <w:t>Read more: https://www.americanactionforum.org/insight/the-results-of-cop26/#ixzz7F7xRhs1d</w:t>
      </w:r>
    </w:p>
    <w:p w14:paraId="0762203D" w14:textId="649A658E" w:rsidR="00323415" w:rsidRDefault="00323415" w:rsidP="00296187">
      <w:pPr>
        <w:spacing w:after="0"/>
        <w:jc w:val="left"/>
      </w:pPr>
      <w:r>
        <w:t>Follow us: @AAF on Twitter</w:t>
      </w:r>
    </w:p>
    <w:p w14:paraId="5A7B8353" w14:textId="77777777" w:rsidR="00323415" w:rsidRDefault="00323415" w:rsidP="00296187">
      <w:pPr>
        <w:jc w:val="left"/>
      </w:pPr>
    </w:p>
    <w:p w14:paraId="4F69E5B6" w14:textId="77777777" w:rsidR="00323415" w:rsidRDefault="00323415" w:rsidP="00296187">
      <w:pPr>
        <w:spacing w:after="0"/>
        <w:jc w:val="left"/>
      </w:pPr>
      <w:r>
        <w:t>Read more: https://www.americanactionforum.org/insight/the-results-of-cop26/#ixzz7F7x4nXkj</w:t>
      </w:r>
    </w:p>
    <w:p w14:paraId="24A8BFE6" w14:textId="2C9E59CD" w:rsidR="00323415" w:rsidRDefault="00323415" w:rsidP="00296187">
      <w:pPr>
        <w:spacing w:after="0"/>
        <w:jc w:val="left"/>
      </w:pPr>
      <w:r>
        <w:t>Follow us: @AAF on Twitter</w:t>
      </w:r>
    </w:p>
    <w:p w14:paraId="78D696A5" w14:textId="77777777" w:rsidR="00323415" w:rsidRDefault="00323415" w:rsidP="00296187">
      <w:pPr>
        <w:spacing w:after="0"/>
        <w:jc w:val="left"/>
      </w:pPr>
    </w:p>
    <w:p w14:paraId="5B5E2BB4" w14:textId="77777777" w:rsidR="00323415" w:rsidRDefault="00323415" w:rsidP="00296187">
      <w:pPr>
        <w:spacing w:after="0"/>
        <w:jc w:val="left"/>
      </w:pPr>
      <w:r>
        <w:t>Read more: https://www.americanactionforum.org/insight/the-results-of-cop26/#ixzz7F7wq7vMh</w:t>
      </w:r>
    </w:p>
    <w:p w14:paraId="669699BE" w14:textId="46BF8AA8" w:rsidR="008B11E7" w:rsidRDefault="00323415" w:rsidP="00296187">
      <w:pPr>
        <w:spacing w:after="0"/>
      </w:pPr>
      <w:r>
        <w:t>Follow us: @AAF on Twitter</w:t>
      </w:r>
    </w:p>
    <w:p w14:paraId="420FB532" w14:textId="77777777" w:rsidR="002770F1" w:rsidRPr="00D5241F" w:rsidRDefault="002770F1" w:rsidP="007A7A14"/>
    <w:p w14:paraId="3EDBABD7" w14:textId="06AA1845" w:rsidR="008F09B0" w:rsidRPr="00472B84" w:rsidRDefault="008F09B0" w:rsidP="00336136">
      <w:pPr>
        <w:pStyle w:val="Ttulo2"/>
        <w:spacing w:before="0" w:line="240" w:lineRule="auto"/>
      </w:pPr>
      <w:bookmarkStart w:id="31" w:name="_Toc90453975"/>
      <w:r w:rsidRPr="00472B84">
        <w:t>Desired policy and regulatory changes</w:t>
      </w:r>
      <w:bookmarkEnd w:id="31"/>
    </w:p>
    <w:p w14:paraId="516F6ADF" w14:textId="77777777" w:rsidR="00CB4732" w:rsidRDefault="00CB4732" w:rsidP="00CB4732">
      <w:pPr>
        <w:spacing w:line="240" w:lineRule="auto"/>
      </w:pPr>
      <w:r>
        <w:t>F</w:t>
      </w:r>
      <w:r w:rsidRPr="00D92F95">
        <w:t>rom the documentary reviews</w:t>
      </w:r>
      <w:r>
        <w:t xml:space="preserve"> and</w:t>
      </w:r>
      <w:r w:rsidRPr="00D92F95">
        <w:t xml:space="preserve"> the interviews with the experts, the proposals for changes are oriented in several directions</w:t>
      </w:r>
      <w:r>
        <w:t xml:space="preserve">. </w:t>
      </w:r>
    </w:p>
    <w:p w14:paraId="3A63CBF2" w14:textId="77777777" w:rsidR="00CB4732" w:rsidRPr="007D78D9" w:rsidRDefault="00CB4732" w:rsidP="00CB4732">
      <w:pPr>
        <w:spacing w:line="240" w:lineRule="auto"/>
        <w:rPr>
          <w:b/>
          <w:bCs/>
        </w:rPr>
      </w:pPr>
      <w:r>
        <w:rPr>
          <w:b/>
          <w:bCs/>
        </w:rPr>
        <w:t xml:space="preserve">National </w:t>
      </w:r>
      <w:r w:rsidRPr="007D78D9">
        <w:rPr>
          <w:b/>
          <w:bCs/>
        </w:rPr>
        <w:t>Energy Policy</w:t>
      </w:r>
    </w:p>
    <w:p w14:paraId="2193E213" w14:textId="71BC63EA" w:rsidR="00CB4732" w:rsidRDefault="00CB4732" w:rsidP="00CB4732">
      <w:pPr>
        <w:spacing w:after="0" w:line="240" w:lineRule="auto"/>
      </w:pPr>
      <w:r w:rsidRPr="00D92EEB">
        <w:t xml:space="preserve">There is a </w:t>
      </w:r>
      <w:r>
        <w:t>robust</w:t>
      </w:r>
      <w:r w:rsidRPr="00D92EEB">
        <w:t xml:space="preserve"> political </w:t>
      </w:r>
      <w:r w:rsidRPr="00D92F95">
        <w:t>speech towards</w:t>
      </w:r>
      <w:r w:rsidRPr="00D92EEB">
        <w:t xml:space="preserve"> renewable energy in the region, but at the same time</w:t>
      </w:r>
      <w:r>
        <w:t>,</w:t>
      </w:r>
      <w:r w:rsidRPr="00D92EEB">
        <w:t xml:space="preserve"> </w:t>
      </w:r>
      <w:r>
        <w:t>several countries</w:t>
      </w:r>
      <w:r w:rsidRPr="00D92EEB">
        <w:t xml:space="preserve"> are pushing for natural gas projects</w:t>
      </w:r>
      <w:r>
        <w:t xml:space="preserve"> </w:t>
      </w:r>
      <w:r w:rsidRPr="00D92EEB">
        <w:t>(</w:t>
      </w:r>
      <w:r>
        <w:t>f</w:t>
      </w:r>
      <w:r w:rsidRPr="00D92EEB">
        <w:t>or instance in Panama</w:t>
      </w:r>
      <w:r>
        <w:t xml:space="preserve"> and Honduras</w:t>
      </w:r>
      <w:r w:rsidRPr="00D92EEB">
        <w:t>)</w:t>
      </w:r>
      <w:r>
        <w:t xml:space="preserve"> due to technical issues to guarantee the energy supply with firm power technologies. So, it is necessary to review and update the energy policies and the regulations associated to:</w:t>
      </w:r>
    </w:p>
    <w:p w14:paraId="4154C09A" w14:textId="77777777" w:rsidR="00CB4732" w:rsidRDefault="00CB4732" w:rsidP="00CB4732">
      <w:pPr>
        <w:spacing w:after="0" w:line="240" w:lineRule="auto"/>
      </w:pPr>
    </w:p>
    <w:p w14:paraId="6B6DBBA5" w14:textId="3DC9A176" w:rsidR="00CB4732" w:rsidRPr="000C5D8D" w:rsidRDefault="00CB4732" w:rsidP="00CB4732">
      <w:r>
        <w:t>E</w:t>
      </w:r>
      <w:r w:rsidRPr="000C5D8D">
        <w:t>nsure that the electricity generation matrix has a technical</w:t>
      </w:r>
      <w:r>
        <w:t xml:space="preserve"> (dispatch conditions) </w:t>
      </w:r>
      <w:r w:rsidRPr="000C5D8D">
        <w:t>and economic</w:t>
      </w:r>
      <w:r>
        <w:t xml:space="preserve"> (prices, long-term contracts)</w:t>
      </w:r>
      <w:r w:rsidRPr="000C5D8D">
        <w:t xml:space="preserve"> balance between traditional</w:t>
      </w:r>
      <w:r w:rsidR="00191411">
        <w:t xml:space="preserve"> (hydro) and</w:t>
      </w:r>
      <w:r w:rsidRPr="000C5D8D">
        <w:t xml:space="preserve"> non-conventional renewable energies (wind and solar) </w:t>
      </w:r>
      <w:r w:rsidR="00191411">
        <w:t xml:space="preserve">in one hand, and </w:t>
      </w:r>
      <w:r w:rsidRPr="000C5D8D">
        <w:t xml:space="preserve">non-renewable energies </w:t>
      </w:r>
      <w:r w:rsidR="00191411">
        <w:t xml:space="preserve">in the other hand, </w:t>
      </w:r>
      <w:r w:rsidRPr="000C5D8D">
        <w:t xml:space="preserve">according to the context of each country. </w:t>
      </w:r>
    </w:p>
    <w:p w14:paraId="6BC491C4" w14:textId="07060621" w:rsidR="00CB4732" w:rsidRDefault="00191411" w:rsidP="00CB4732">
      <w:r w:rsidRPr="00191411">
        <w:t xml:space="preserve">Establish technical, economic, and monitoring mechanisms so that each </w:t>
      </w:r>
      <w:r>
        <w:t xml:space="preserve">candidate </w:t>
      </w:r>
      <w:r w:rsidRPr="00191411">
        <w:t xml:space="preserve">RE project is subject to a strict cost-efficient review to avoid expensive facilities that finally impact consumers' pockets. </w:t>
      </w:r>
      <w:r w:rsidR="00CB4732" w:rsidRPr="007D78D9">
        <w:t>In Honduras,</w:t>
      </w:r>
      <w:r>
        <w:t xml:space="preserve"> for instance,</w:t>
      </w:r>
      <w:r w:rsidR="00CB4732" w:rsidRPr="007D78D9">
        <w:t xml:space="preserve"> </w:t>
      </w:r>
      <w:r>
        <w:t xml:space="preserve">the high rates contemplated in the Power Purchase Agreements with solar generators are </w:t>
      </w:r>
      <w:r w:rsidRPr="00191411">
        <w:t xml:space="preserve">driving the increase in user </w:t>
      </w:r>
      <w:r>
        <w:t xml:space="preserve">tariffs, and the high rates of penetration in the south of the country are already causing </w:t>
      </w:r>
      <w:r w:rsidRPr="00191411">
        <w:t>blackouts and instability in the supply network</w:t>
      </w:r>
      <w:r w:rsidR="00CB4732" w:rsidRPr="007D78D9">
        <w:t>.</w:t>
      </w:r>
    </w:p>
    <w:p w14:paraId="6F18EA89" w14:textId="77777777" w:rsidR="00CB4732" w:rsidRDefault="00CB4732" w:rsidP="00CB4732">
      <w:pPr>
        <w:spacing w:line="240" w:lineRule="auto"/>
        <w:rPr>
          <w:b/>
          <w:bCs/>
        </w:rPr>
      </w:pPr>
      <w:r w:rsidRPr="007D78D9">
        <w:rPr>
          <w:b/>
          <w:bCs/>
        </w:rPr>
        <w:t>Distributed Generation</w:t>
      </w:r>
    </w:p>
    <w:p w14:paraId="29EA7DFC" w14:textId="6FDCE7B1" w:rsidR="00CB4732" w:rsidRPr="00FE574A" w:rsidRDefault="00824FF5" w:rsidP="00CB4732">
      <w:pPr>
        <w:spacing w:line="240" w:lineRule="auto"/>
      </w:pPr>
      <w:r w:rsidRPr="00824FF5">
        <w:t>Simplify the requirements to develop distributed generation projects. Modify the tariff structure to allow that residential, commercial, and industrial users receive a payment for the net surplus energy injected into the grid.</w:t>
      </w:r>
      <w:r>
        <w:t xml:space="preserve"> The D</w:t>
      </w:r>
      <w:r w:rsidR="00CB4732">
        <w:t>utch or German model</w:t>
      </w:r>
      <w:r>
        <w:t>s</w:t>
      </w:r>
      <w:r w:rsidR="00CB4732">
        <w:t xml:space="preserve"> </w:t>
      </w:r>
      <w:r>
        <w:t xml:space="preserve">for </w:t>
      </w:r>
      <w:r w:rsidR="00CB4732">
        <w:t xml:space="preserve">distributed generation </w:t>
      </w:r>
      <w:r>
        <w:t>can be analyzed t</w:t>
      </w:r>
      <w:r w:rsidR="00CB4732">
        <w:t>o stimulate investment in projects of this type.</w:t>
      </w:r>
    </w:p>
    <w:p w14:paraId="489F67BE" w14:textId="444F7376" w:rsidR="00CB4732" w:rsidRDefault="00B30AB1" w:rsidP="00CB4732">
      <w:pPr>
        <w:spacing w:line="240" w:lineRule="auto"/>
      </w:pPr>
      <w:r w:rsidRPr="00B30AB1">
        <w:t>Modify regulations, based on independent technical-economic studies, to allow for a higher participation of distributed generation projects in the same distribution circuit.</w:t>
      </w:r>
      <w:r>
        <w:t xml:space="preserve"> </w:t>
      </w:r>
      <w:r w:rsidR="00CB4732" w:rsidRPr="00FE574A">
        <w:t>In Costa Rica</w:t>
      </w:r>
      <w:r w:rsidR="00CB4732">
        <w:t>,</w:t>
      </w:r>
      <w:r>
        <w:t xml:space="preserve"> for instance,</w:t>
      </w:r>
      <w:r w:rsidR="00CB4732" w:rsidRPr="00FE574A">
        <w:t xml:space="preserve"> there is a limit of 15% </w:t>
      </w:r>
      <w:r>
        <w:t xml:space="preserve">(maximum allowance </w:t>
      </w:r>
      <w:r w:rsidR="00CB4732" w:rsidRPr="00FE574A">
        <w:t>to connect distributed generation</w:t>
      </w:r>
      <w:r>
        <w:t xml:space="preserve"> equipment vs </w:t>
      </w:r>
      <w:r w:rsidRPr="00FE574A">
        <w:t>capacity of the</w:t>
      </w:r>
      <w:r>
        <w:t xml:space="preserve"> corresponding</w:t>
      </w:r>
      <w:r w:rsidRPr="00FE574A">
        <w:t xml:space="preserve"> distribution circuit</w:t>
      </w:r>
      <w:r>
        <w:t>)</w:t>
      </w:r>
      <w:r w:rsidR="00CB4732">
        <w:t>.</w:t>
      </w:r>
    </w:p>
    <w:p w14:paraId="548FE0FF" w14:textId="77777777" w:rsidR="006553EC" w:rsidRDefault="006553EC" w:rsidP="00CB4732">
      <w:pPr>
        <w:spacing w:line="240" w:lineRule="auto"/>
      </w:pPr>
      <w:r w:rsidRPr="006553EC">
        <w:t>Promote that the new buildings (residential, commercial, industrial) should incorporate self-generation measures from the beginning to cover part of their consumption.</w:t>
      </w:r>
    </w:p>
    <w:p w14:paraId="40F93FE2" w14:textId="728BC117" w:rsidR="006553EC" w:rsidRDefault="006553EC" w:rsidP="00CB4732">
      <w:pPr>
        <w:spacing w:line="240" w:lineRule="auto"/>
      </w:pPr>
      <w:r w:rsidRPr="006553EC">
        <w:t>Allow RE private generators to consume energy at a point different from the one where energy was generated, paying a toll to the owner of the grid.</w:t>
      </w:r>
    </w:p>
    <w:p w14:paraId="2FC592DD" w14:textId="3C05AE37" w:rsidR="00CB4732" w:rsidRDefault="00CB4732" w:rsidP="00CB4732">
      <w:pPr>
        <w:spacing w:line="240" w:lineRule="auto"/>
        <w:rPr>
          <w:b/>
          <w:bCs/>
        </w:rPr>
      </w:pPr>
      <w:r w:rsidRPr="003D121B">
        <w:rPr>
          <w:b/>
          <w:bCs/>
        </w:rPr>
        <w:t>Regional Energy Market (MER)</w:t>
      </w:r>
    </w:p>
    <w:p w14:paraId="0CEB028A" w14:textId="77777777" w:rsidR="00EC198B" w:rsidRDefault="009A7DC4" w:rsidP="00CB4732">
      <w:pPr>
        <w:spacing w:line="240" w:lineRule="auto"/>
      </w:pPr>
      <w:r w:rsidRPr="009A7DC4">
        <w:t xml:space="preserve">Update the Central American regional market (MER) to maximize its potential, allowing </w:t>
      </w:r>
      <w:r w:rsidR="00EC198B">
        <w:t xml:space="preserve">for </w:t>
      </w:r>
      <w:r w:rsidRPr="009A7DC4">
        <w:t xml:space="preserve">medium and long-term transactions between public and private agents located in different countries. </w:t>
      </w:r>
    </w:p>
    <w:p w14:paraId="0CE2AA45" w14:textId="77777777" w:rsidR="00EC198B" w:rsidRDefault="009A7DC4" w:rsidP="00CB4732">
      <w:pPr>
        <w:spacing w:line="240" w:lineRule="auto"/>
      </w:pPr>
      <w:r w:rsidRPr="009A7DC4">
        <w:t xml:space="preserve">Accelerate the commitments of the countries to complete the infrastructure of the first circuit of the transmission network (300MW) and facilitate the conditions to build the second circuit (300 MW). </w:t>
      </w:r>
    </w:p>
    <w:p w14:paraId="772395B6" w14:textId="161E365C" w:rsidR="009A7DC4" w:rsidRDefault="009A7DC4" w:rsidP="00CB4732">
      <w:pPr>
        <w:spacing w:line="240" w:lineRule="auto"/>
      </w:pPr>
      <w:r w:rsidRPr="009A7DC4">
        <w:t xml:space="preserve">Ensure that </w:t>
      </w:r>
      <w:r w:rsidR="00EC198B">
        <w:t xml:space="preserve">SIEPAC </w:t>
      </w:r>
      <w:r w:rsidRPr="009A7DC4">
        <w:t>is used mainly for international transactions, not to transfer energy internally (as it happens in Nicaragua).</w:t>
      </w:r>
    </w:p>
    <w:p w14:paraId="3D696875" w14:textId="77777777" w:rsidR="00CB4732" w:rsidRPr="00114B25" w:rsidRDefault="00CB4732" w:rsidP="00CB4732">
      <w:pPr>
        <w:spacing w:line="240" w:lineRule="auto"/>
        <w:rPr>
          <w:b/>
          <w:bCs/>
        </w:rPr>
      </w:pPr>
      <w:r w:rsidRPr="00114B25">
        <w:rPr>
          <w:b/>
          <w:bCs/>
        </w:rPr>
        <w:t>Low Enthalpy Geothermal</w:t>
      </w:r>
    </w:p>
    <w:p w14:paraId="0FD935BC" w14:textId="77777777" w:rsidR="00CB4732" w:rsidRDefault="00CB4732" w:rsidP="00CB4732">
      <w:pPr>
        <w:spacing w:line="240" w:lineRule="auto"/>
      </w:pPr>
      <w:r w:rsidRPr="00114B25">
        <w:t xml:space="preserve">Develop specific regulations for the use of low enthalpy geothermal energy, facilitating the conditions for potential identification studies, development of </w:t>
      </w:r>
      <w:r>
        <w:t xml:space="preserve">local and regional </w:t>
      </w:r>
      <w:r w:rsidRPr="00114B25">
        <w:t>economic, technical, and service capacities.</w:t>
      </w:r>
      <w:r>
        <w:t xml:space="preserve"> </w:t>
      </w:r>
    </w:p>
    <w:p w14:paraId="1AEF2FFC" w14:textId="77777777" w:rsidR="00CB4732" w:rsidRDefault="00CB4732" w:rsidP="00CB4732">
      <w:pPr>
        <w:spacing w:line="240" w:lineRule="auto"/>
      </w:pPr>
      <w:r w:rsidRPr="00D97A05">
        <w:t>SICA and GIZ are promoting the development of low enthalpy geothermal energy in the Central American countries that have it available (Guatemala, El Salvador, Nicaragua</w:t>
      </w:r>
      <w:r>
        <w:t>,</w:t>
      </w:r>
      <w:r w:rsidRPr="00D97A05">
        <w:t xml:space="preserve"> and Costa Rica to a greater extent). </w:t>
      </w:r>
    </w:p>
    <w:p w14:paraId="6510A359" w14:textId="77777777" w:rsidR="00CB4732" w:rsidRPr="00114B25" w:rsidRDefault="00CB4732" w:rsidP="00CB4732">
      <w:pPr>
        <w:spacing w:line="240" w:lineRule="auto"/>
        <w:rPr>
          <w:b/>
          <w:bCs/>
        </w:rPr>
      </w:pPr>
      <w:r w:rsidRPr="00114B25">
        <w:rPr>
          <w:b/>
          <w:bCs/>
        </w:rPr>
        <w:t>Local Markets</w:t>
      </w:r>
    </w:p>
    <w:p w14:paraId="4A576E24" w14:textId="729FC694" w:rsidR="00CB4732" w:rsidRDefault="00CB4732" w:rsidP="00CB4732">
      <w:pPr>
        <w:spacing w:line="240" w:lineRule="auto"/>
      </w:pPr>
      <w:r>
        <w:t>Modify policies and regulations to develop open electricity markets, create agents in the generation, transmission, distribution, and commercialization segments,</w:t>
      </w:r>
      <w:r w:rsidR="00483688">
        <w:t xml:space="preserve"> and</w:t>
      </w:r>
      <w:r>
        <w:t xml:space="preserve"> allow trade between private agents.</w:t>
      </w:r>
      <w:r w:rsidR="00483688">
        <w:t xml:space="preserve"> In this regard,</w:t>
      </w:r>
      <w:r>
        <w:t xml:space="preserve"> </w:t>
      </w:r>
      <w:r w:rsidRPr="00BF263B">
        <w:t>Guatemala</w:t>
      </w:r>
      <w:r>
        <w:t xml:space="preserve"> is p</w:t>
      </w:r>
      <w:r w:rsidR="00483688">
        <w:t>robably</w:t>
      </w:r>
      <w:r>
        <w:t xml:space="preserve"> the best model</w:t>
      </w:r>
      <w:r w:rsidR="00483688">
        <w:t xml:space="preserve"> in the region</w:t>
      </w:r>
      <w:r w:rsidRPr="00BF263B">
        <w:t xml:space="preserve">, and </w:t>
      </w:r>
      <w:r w:rsidR="00483688">
        <w:t xml:space="preserve">in </w:t>
      </w:r>
      <w:r>
        <w:t xml:space="preserve">a </w:t>
      </w:r>
      <w:r w:rsidRPr="00BF263B">
        <w:t>lesser extent El Salvador. Nicaragua and Costa Rica do not show the political will to do so</w:t>
      </w:r>
      <w:r>
        <w:t>.</w:t>
      </w:r>
    </w:p>
    <w:p w14:paraId="0EDC3E70" w14:textId="5C146430" w:rsidR="00483688" w:rsidRDefault="00483688" w:rsidP="00483688">
      <w:pPr>
        <w:spacing w:line="240" w:lineRule="auto"/>
      </w:pPr>
      <w:r>
        <w:t>Improve economic incentives and attract funding to upgrade the transmission and distribution infrastructure that allow for a greater use of RE and distributed generation.</w:t>
      </w:r>
    </w:p>
    <w:p w14:paraId="21088241" w14:textId="77777777" w:rsidR="00CB4732" w:rsidRDefault="00CB4732" w:rsidP="00CB4732">
      <w:pPr>
        <w:spacing w:line="240" w:lineRule="auto"/>
        <w:rPr>
          <w:b/>
          <w:bCs/>
        </w:rPr>
      </w:pPr>
      <w:r w:rsidRPr="00AD5CED">
        <w:rPr>
          <w:b/>
          <w:bCs/>
        </w:rPr>
        <w:t>Incentives</w:t>
      </w:r>
    </w:p>
    <w:p w14:paraId="731A1E5F" w14:textId="77777777" w:rsidR="00483688" w:rsidRDefault="00483688" w:rsidP="00483688">
      <w:pPr>
        <w:spacing w:line="240" w:lineRule="auto"/>
      </w:pPr>
      <w:r>
        <w:t xml:space="preserve">Update incentive policies and regulations to promote the new set of non-conventional technologies that are gaining momentum worldwide (supply and demand sites).  </w:t>
      </w:r>
    </w:p>
    <w:p w14:paraId="1B0300A7" w14:textId="10E91787" w:rsidR="00483688" w:rsidRDefault="00483688" w:rsidP="00483688">
      <w:pPr>
        <w:spacing w:line="240" w:lineRule="auto"/>
      </w:pPr>
      <w:r>
        <w:t>Promote national, regional, and international carbon credit markets in line with the Paris Agreement.  National carbon market models can be inspired on the Mexican and Colombian carbon markets, which are among the most developed and active in Latin America.</w:t>
      </w:r>
    </w:p>
    <w:p w14:paraId="62256976" w14:textId="02995F76" w:rsidR="00483688" w:rsidRDefault="00483688" w:rsidP="00483688">
      <w:pPr>
        <w:spacing w:line="240" w:lineRule="auto"/>
      </w:pPr>
      <w:r>
        <w:t>Simplify the red type required to deploy RE projects in the region and to become self-generator.</w:t>
      </w:r>
    </w:p>
    <w:p w14:paraId="79191709" w14:textId="4E8932D6" w:rsidR="00CB4732" w:rsidRPr="00CB5F50" w:rsidRDefault="00CB4732" w:rsidP="00CB4732">
      <w:pPr>
        <w:spacing w:line="240" w:lineRule="auto"/>
        <w:rPr>
          <w:b/>
          <w:bCs/>
        </w:rPr>
      </w:pPr>
      <w:r w:rsidRPr="00CB5F50">
        <w:rPr>
          <w:b/>
          <w:bCs/>
        </w:rPr>
        <w:t>Electromobility</w:t>
      </w:r>
      <w:r w:rsidR="002908EF">
        <w:rPr>
          <w:b/>
          <w:bCs/>
        </w:rPr>
        <w:t xml:space="preserve"> and Battery Storage</w:t>
      </w:r>
    </w:p>
    <w:p w14:paraId="2192CAF6" w14:textId="30E17AE2" w:rsidR="002908EF" w:rsidRDefault="002908EF" w:rsidP="002908EF">
      <w:pPr>
        <w:spacing w:line="240" w:lineRule="auto"/>
      </w:pPr>
      <w:r>
        <w:t>Stimulate electromobility ecosystems (financing, incentives, technology, infrastructure, business models, public-private partnerships).</w:t>
      </w:r>
    </w:p>
    <w:p w14:paraId="701955DC" w14:textId="397D332F" w:rsidR="002908EF" w:rsidRDefault="002908EF" w:rsidP="002908EF">
      <w:pPr>
        <w:spacing w:line="240" w:lineRule="auto"/>
      </w:pPr>
      <w:r>
        <w:t>The implementation of policies and regulations to impel the introduction of large capacity and deep cycle batteries are needed to financially justify many distributed energy projects and the possibility to inject their surplus energy to the grid at attractive prices. More studies, pilot projects, and incentives are required. The problem of the final disposal or recycling of batteries must also be solved from the beginning.</w:t>
      </w:r>
    </w:p>
    <w:p w14:paraId="379A8862" w14:textId="68B652C1" w:rsidR="00CB4732" w:rsidRPr="007355A4" w:rsidRDefault="00CB4732" w:rsidP="00CB4732">
      <w:pPr>
        <w:spacing w:line="240" w:lineRule="auto"/>
        <w:rPr>
          <w:b/>
          <w:bCs/>
        </w:rPr>
      </w:pPr>
      <w:r w:rsidRPr="007355A4">
        <w:rPr>
          <w:b/>
          <w:bCs/>
        </w:rPr>
        <w:t xml:space="preserve">Goods and </w:t>
      </w:r>
      <w:r w:rsidR="002908EF">
        <w:rPr>
          <w:b/>
          <w:bCs/>
        </w:rPr>
        <w:t>S</w:t>
      </w:r>
      <w:r w:rsidRPr="007355A4">
        <w:rPr>
          <w:b/>
          <w:bCs/>
        </w:rPr>
        <w:t>ervices from EU</w:t>
      </w:r>
    </w:p>
    <w:p w14:paraId="3195E265" w14:textId="5E1B1255" w:rsidR="00082A02" w:rsidRDefault="00082A02" w:rsidP="00CB4732">
      <w:pPr>
        <w:spacing w:line="240" w:lineRule="auto"/>
      </w:pPr>
      <w:r w:rsidRPr="00082A02">
        <w:t>European suppliers compete well for quality and durability, but not for price. It is advisable to pursue the development of stricter specifications and regulations such that there is a better balance between quality and price. SICA could work with European cooperation to develop more stringent regulations and prevent the entry of low-quality products.</w:t>
      </w:r>
    </w:p>
    <w:p w14:paraId="333CB428" w14:textId="01462334" w:rsidR="008F09B0" w:rsidRPr="00472B84" w:rsidRDefault="008F09B0" w:rsidP="00336136">
      <w:pPr>
        <w:pStyle w:val="Ttulo2"/>
        <w:spacing w:before="0" w:line="240" w:lineRule="auto"/>
      </w:pPr>
      <w:bookmarkStart w:id="32" w:name="_Toc90453976"/>
      <w:r w:rsidRPr="00472B84">
        <w:t>Gap analysis of technology transfer and capital investment</w:t>
      </w:r>
      <w:bookmarkEnd w:id="32"/>
    </w:p>
    <w:p w14:paraId="4CC6818D" w14:textId="77777777" w:rsidR="005664F0" w:rsidRPr="00CF1FFC" w:rsidRDefault="005664F0" w:rsidP="005664F0">
      <w:pPr>
        <w:rPr>
          <w:b/>
          <w:bCs/>
          <w:szCs w:val="20"/>
          <w:u w:val="single"/>
        </w:rPr>
      </w:pPr>
      <w:r w:rsidRPr="00CF1FFC">
        <w:rPr>
          <w:b/>
          <w:bCs/>
          <w:szCs w:val="20"/>
          <w:u w:val="single"/>
        </w:rPr>
        <w:t>Gap analysis of technology transfer</w:t>
      </w:r>
    </w:p>
    <w:p w14:paraId="7664E672" w14:textId="77777777" w:rsidR="005664F0" w:rsidRPr="00CF1FFC" w:rsidRDefault="005664F0" w:rsidP="005664F0">
      <w:pPr>
        <w:rPr>
          <w:szCs w:val="20"/>
        </w:rPr>
      </w:pPr>
      <w:r w:rsidRPr="00CF1FFC">
        <w:rPr>
          <w:szCs w:val="20"/>
        </w:rPr>
        <w:t>The International Energy Agency (IEA) has identified a group of important technology gaps that are holding back the further deployment of renewable energy technologies worldwide. They were contrasted against the current situation and trends in Central America, and the opinions of the experts interviewed. The list of the main technology gaps identified for the region is as follows:</w:t>
      </w:r>
    </w:p>
    <w:p w14:paraId="777E5E3B" w14:textId="7FFAD0CD" w:rsidR="00115E62" w:rsidRDefault="005664F0" w:rsidP="005664F0">
      <w:pPr>
        <w:pStyle w:val="Prrafodelista"/>
        <w:numPr>
          <w:ilvl w:val="0"/>
          <w:numId w:val="36"/>
        </w:numPr>
        <w:spacing w:after="160" w:line="259" w:lineRule="auto"/>
      </w:pPr>
      <w:r w:rsidRPr="003E0D5E">
        <w:t>Wind and solar are</w:t>
      </w:r>
      <w:r w:rsidR="00115E62">
        <w:t xml:space="preserve"> internationally</w:t>
      </w:r>
      <w:r w:rsidRPr="003E0D5E">
        <w:t xml:space="preserve"> subject to continued R&amp;D into next generation modules, cells, turbines</w:t>
      </w:r>
      <w:r w:rsidR="001845E3">
        <w:t>,</w:t>
      </w:r>
      <w:r w:rsidRPr="003E0D5E">
        <w:t xml:space="preserve"> and system designs, as well as into balance-of-system components to ensure cost reduction trends are maintained.</w:t>
      </w:r>
      <w:r w:rsidR="00B01C94">
        <w:t xml:space="preserve"> </w:t>
      </w:r>
      <w:r w:rsidR="00B01C94" w:rsidRPr="00B01C94">
        <w:t xml:space="preserve">For example, in solar technology there have been recent advances in flexible panels, adhesive fixings (instead of screws, which prevent roof leaks), panels with PERC </w:t>
      </w:r>
      <w:r w:rsidR="00B01C94">
        <w:t>-</w:t>
      </w:r>
      <w:r w:rsidR="00B01C94" w:rsidRPr="00B01C94">
        <w:t>passivated emitter rear cell</w:t>
      </w:r>
      <w:r w:rsidR="00B01C94">
        <w:t xml:space="preserve">- a </w:t>
      </w:r>
      <w:r w:rsidR="00B01C94" w:rsidRPr="00B01C94">
        <w:t>technology that allow higher efficiencies, bifacial modules that produce energy on both sides of the panels, hybrid panels that produce electricity and hot water at the same time, etc.</w:t>
      </w:r>
    </w:p>
    <w:p w14:paraId="17E996A8" w14:textId="6FD6ECBD" w:rsidR="005664F0" w:rsidRDefault="005664F0" w:rsidP="005664F0">
      <w:pPr>
        <w:pStyle w:val="Prrafodelista"/>
        <w:numPr>
          <w:ilvl w:val="0"/>
          <w:numId w:val="36"/>
        </w:numPr>
        <w:spacing w:after="160" w:line="259" w:lineRule="auto"/>
      </w:pPr>
      <w:r w:rsidRPr="00CF1FFC">
        <w:t>Although the Central American countries are importers of these technologies, the technical and financial success of these projects require the continuous training of local engineers and technicians to ensure the best selection, integration, installation, operation</w:t>
      </w:r>
      <w:r w:rsidR="001845E3">
        <w:t>,</w:t>
      </w:r>
      <w:r w:rsidRPr="00CF1FFC">
        <w:t xml:space="preserve"> and maintenance. This must be accompanied by an updated regulation that guarantees the entry of </w:t>
      </w:r>
      <w:r>
        <w:t>RE</w:t>
      </w:r>
      <w:r w:rsidRPr="00CF1FFC">
        <w:t xml:space="preserve"> and EE products that not only compete on price, but also on quality, extended </w:t>
      </w:r>
      <w:r w:rsidR="001845E3" w:rsidRPr="00CF1FFC">
        <w:t>warranties,</w:t>
      </w:r>
      <w:r w:rsidRPr="00CF1FFC">
        <w:t xml:space="preserve"> and manufacturer support. For example, actions are taken to mitigate market risk through long-term energy sales contracts (PPAs) and rates indexed to the dollar and inflation, but actions to mitigate the technological risk caused by the lack of regulations have yet to be implemented. </w:t>
      </w:r>
    </w:p>
    <w:p w14:paraId="7385B8BC" w14:textId="41CC4D39" w:rsidR="008236A5" w:rsidRDefault="001A32A6" w:rsidP="005664F0">
      <w:pPr>
        <w:pStyle w:val="Prrafodelista"/>
        <w:numPr>
          <w:ilvl w:val="0"/>
          <w:numId w:val="36"/>
        </w:numPr>
        <w:spacing w:after="160" w:line="259" w:lineRule="auto"/>
      </w:pPr>
      <w:r>
        <w:t xml:space="preserve">Four </w:t>
      </w:r>
      <w:r w:rsidR="008236A5">
        <w:t xml:space="preserve">technologies in which many </w:t>
      </w:r>
      <w:r w:rsidR="00A17795">
        <w:t>stakeholders suggested a greater effort to provide knowledge transfer are green hydrogen, large energy storage in batteries,</w:t>
      </w:r>
      <w:r>
        <w:t xml:space="preserve"> smart grid,</w:t>
      </w:r>
      <w:r w:rsidR="00A17795">
        <w:t xml:space="preserve"> and low-enthalpy geothermal.  SICA and GiZ, for instance, has teamed up to promote the last one in the region, but more effort </w:t>
      </w:r>
      <w:r w:rsidR="001845E3">
        <w:t xml:space="preserve">is required to </w:t>
      </w:r>
      <w:r w:rsidR="00A17795">
        <w:t xml:space="preserve">generate a pipeline of projects and improve regulations allowing it. </w:t>
      </w:r>
    </w:p>
    <w:p w14:paraId="77456C97" w14:textId="77777777" w:rsidR="005664F0" w:rsidRDefault="005664F0" w:rsidP="005664F0">
      <w:pPr>
        <w:pStyle w:val="Prrafodelista"/>
        <w:numPr>
          <w:ilvl w:val="0"/>
          <w:numId w:val="36"/>
        </w:numPr>
        <w:spacing w:after="160" w:line="259" w:lineRule="auto"/>
      </w:pPr>
      <w:r w:rsidRPr="00CF1FFC">
        <w:t xml:space="preserve">Wind and solar are criticized for being intermittent technologies. In most cases, the Central American distribution companies are opting to limit in a very general way the percentage of energy from these technologies that can be injected into their networks, in a static way instead of doing it dynamically using techniques of Smart Grid and Probabilistic Forecasting. For example, </w:t>
      </w:r>
      <w:r>
        <w:t xml:space="preserve">in Costa Rica </w:t>
      </w:r>
      <w:r w:rsidRPr="00CF1FFC">
        <w:t xml:space="preserve">distributors establish a fixed maximum of 15% that can be injected with energy from these technologies in each circuit. A combination of modern regulation and grid codes and more innovative solutions for providing ancillary services and other services related to dispatchability can solve this gap. For instance, solar smart inverters at higher PV penetrations will need to incorporate communication equipment that interacts in real time with utilities, increasing the visibility of the overall condition of low- and medium-voltage grids. Increasingly, they will also need to offer ancillary services such as reactive power or ramping controls. </w:t>
      </w:r>
    </w:p>
    <w:p w14:paraId="3AC57E8A" w14:textId="77777777" w:rsidR="005664F0" w:rsidRDefault="005664F0" w:rsidP="005664F0">
      <w:pPr>
        <w:pStyle w:val="Prrafodelista"/>
        <w:numPr>
          <w:ilvl w:val="0"/>
          <w:numId w:val="36"/>
        </w:numPr>
        <w:spacing w:after="160" w:line="259" w:lineRule="auto"/>
      </w:pPr>
      <w:r w:rsidRPr="00741A8A">
        <w:t>Improve resource assessment and spatial planning</w:t>
      </w:r>
      <w:r>
        <w:t xml:space="preserve">. </w:t>
      </w:r>
      <w:r w:rsidRPr="003F3AA7">
        <w:t>Interviewees noted that the lack of good planning and periodic adjustment of incentives for renewable energy in some Central American countries has led to the approval and construction of many renewable energy projects that have not been successful. In many cases, the lack of adequate studies of the resources involved (water, wind, sun, biomass) has been the cause of these failures.</w:t>
      </w:r>
    </w:p>
    <w:p w14:paraId="45944A00" w14:textId="77777777" w:rsidR="005664F0" w:rsidRDefault="005664F0" w:rsidP="005664F0">
      <w:pPr>
        <w:pStyle w:val="Prrafodelista"/>
        <w:numPr>
          <w:ilvl w:val="0"/>
          <w:numId w:val="36"/>
        </w:numPr>
        <w:spacing w:after="160" w:line="259" w:lineRule="auto"/>
      </w:pPr>
      <w:r w:rsidRPr="00CD2446">
        <w:t>As penetration increases and electricity systems become more complex overall, it is important to minimi</w:t>
      </w:r>
      <w:r>
        <w:t>z</w:t>
      </w:r>
      <w:r w:rsidRPr="00CD2446">
        <w:t xml:space="preserve">e the uncertainties of modelling </w:t>
      </w:r>
      <w:r>
        <w:t xml:space="preserve">solar and </w:t>
      </w:r>
      <w:r w:rsidRPr="00CD2446">
        <w:t>wind production. Model outputs can be refined and validated against measured data, and higher-resolution grid models can be developed as well as methods for estimating the economics of co</w:t>
      </w:r>
      <w:r w:rsidRPr="00CD2446">
        <w:rPr>
          <w:rFonts w:ascii="Cambria Math" w:hAnsi="Cambria Math" w:cs="Cambria Math"/>
        </w:rPr>
        <w:t>‑</w:t>
      </w:r>
      <w:r w:rsidRPr="00CD2446">
        <w:t>locating renewables and storage.</w:t>
      </w:r>
    </w:p>
    <w:p w14:paraId="64E7C1FB" w14:textId="0DFE89E5" w:rsidR="005664F0" w:rsidRDefault="005664F0" w:rsidP="005664F0">
      <w:pPr>
        <w:pStyle w:val="Prrafodelista"/>
        <w:numPr>
          <w:ilvl w:val="0"/>
          <w:numId w:val="36"/>
        </w:numPr>
        <w:spacing w:after="160" w:line="259" w:lineRule="auto"/>
      </w:pPr>
      <w:r w:rsidRPr="007E5A14">
        <w:t xml:space="preserve">Distributed generation with solar PV. </w:t>
      </w:r>
      <w:r>
        <w:t>T</w:t>
      </w:r>
      <w:r w:rsidRPr="007E5A14">
        <w:t xml:space="preserve">here is </w:t>
      </w:r>
      <w:r w:rsidR="001845E3">
        <w:t xml:space="preserve">a </w:t>
      </w:r>
      <w:r w:rsidRPr="007E5A14">
        <w:t xml:space="preserve">global trend towards </w:t>
      </w:r>
      <w:r>
        <w:t>i</w:t>
      </w:r>
      <w:r w:rsidRPr="007E5A14">
        <w:t xml:space="preserve">nnovation in digital technologies applied to solar PV systems, which allows </w:t>
      </w:r>
      <w:r w:rsidR="001845E3">
        <w:t>for the</w:t>
      </w:r>
      <w:r w:rsidRPr="007E5A14">
        <w:t xml:space="preserve"> deliver</w:t>
      </w:r>
      <w:r w:rsidR="001845E3">
        <w:t>y of</w:t>
      </w:r>
      <w:r w:rsidRPr="007E5A14">
        <w:t xml:space="preserve"> a higher share of mini- and off-grid systems and increase energy access in developing countries. Off-grid technologies (such as stand-alone solar home systems), mini-grids and energy-efficient appliances are complementing efforts to provide electricity access from grid expansion. Such decentralized systems can help fill the energy access gap in remote areas by delivering electricity at a level of access that is currently too expensive to be met through a grid connection, help to implement climate change mitigation actions (irrigation for instance), and in urban areas by providing back-up for an unreliable grid supply or blackouts caused by technical or natural reasons (i.e. natural disasters). Central American universities and research centers can look for to play a role in this process, making alliances with international developers to test those</w:t>
      </w:r>
      <w:r>
        <w:t xml:space="preserve"> digital</w:t>
      </w:r>
      <w:r w:rsidRPr="007E5A14">
        <w:t xml:space="preserve"> technologies in the region</w:t>
      </w:r>
      <w:r>
        <w:t>, although the main barrier for this deployment of distributed generation is not technological, but regulatory.</w:t>
      </w:r>
      <w:r w:rsidRPr="007E5A14">
        <w:t xml:space="preserve"> </w:t>
      </w:r>
    </w:p>
    <w:p w14:paraId="2A09AE2D" w14:textId="22D22F68" w:rsidR="005664F0" w:rsidRDefault="005664F0" w:rsidP="005664F0">
      <w:pPr>
        <w:pStyle w:val="Prrafodelista"/>
        <w:numPr>
          <w:ilvl w:val="0"/>
          <w:numId w:val="36"/>
        </w:numPr>
        <w:spacing w:after="160" w:line="259" w:lineRule="auto"/>
      </w:pPr>
      <w:r>
        <w:t>In the regional industrial and commercial sectors, a combination of solar generation and energy efficiency measures increases the investment return on the solar systems. It is common in the region that solar PV installers do not make a detailed analysis of the different technology options that can improve a Solar PV-Energy Efficiency package.  Better training for the integration of this type of technolog</w:t>
      </w:r>
      <w:r w:rsidR="001845E3">
        <w:t>y</w:t>
      </w:r>
      <w:r>
        <w:t xml:space="preserve">, as well as on energy storage, would allow to achieve successful and profitable projects. </w:t>
      </w:r>
    </w:p>
    <w:p w14:paraId="506BAEB7" w14:textId="77777777" w:rsidR="005664F0" w:rsidRPr="009571CE" w:rsidRDefault="005664F0" w:rsidP="005664F0">
      <w:pPr>
        <w:pStyle w:val="Prrafodelista"/>
        <w:numPr>
          <w:ilvl w:val="0"/>
          <w:numId w:val="36"/>
        </w:numPr>
        <w:spacing w:after="160" w:line="259" w:lineRule="auto"/>
      </w:pPr>
      <w:r w:rsidRPr="009571CE">
        <w:t>Beyond its use for billing and asset monitoring purposes, the wealth of data generated by many off-grid systems could be subjected to big data analytics and artificial intelligence interpretation to enable better tailoring of equipment and modular asset scale-ups, better planning, improved device management and maintenance, and wider commercial offerings.</w:t>
      </w:r>
      <w:r>
        <w:t xml:space="preserve">  This can be achieved with the participation of final users (industrial, commercial, residential), distribution companies, technical advisors and suppliers of equipment and </w:t>
      </w:r>
      <w:r w:rsidRPr="009571CE">
        <w:t>ancillary services</w:t>
      </w:r>
      <w:r>
        <w:t>.</w:t>
      </w:r>
    </w:p>
    <w:p w14:paraId="4E1A8F6D" w14:textId="7471732F" w:rsidR="005664F0" w:rsidRDefault="005664F0" w:rsidP="005664F0">
      <w:pPr>
        <w:pStyle w:val="Prrafodelista"/>
        <w:numPr>
          <w:ilvl w:val="0"/>
          <w:numId w:val="36"/>
        </w:numPr>
        <w:spacing w:after="160" w:line="259" w:lineRule="auto"/>
      </w:pPr>
      <w:r>
        <w:t xml:space="preserve">For green buildings, integration of RE and EE technologies with better design and construction, especially in Central American coastal areas where tourism requires high consumption of energy for air conditioning; and in large cities like Managua, San Pedro Sula and Panama, where average annual temperature can reach 35 </w:t>
      </w:r>
      <w:r w:rsidRPr="00AF4585">
        <w:t>°C</w:t>
      </w:r>
      <w:r>
        <w:t xml:space="preserve">. </w:t>
      </w:r>
      <w:r w:rsidRPr="00C0698D">
        <w:t xml:space="preserve">Transitioning to high-performance buildings by 2030 will require technical innovation to meet the energy needs of a variety of building types in multiple regions. Innovation is particularly needed to raise investment returns for high-performance building envelope technologies, </w:t>
      </w:r>
      <w:r>
        <w:t>a</w:t>
      </w:r>
      <w:r w:rsidRPr="00F83612">
        <w:t>dvanced air flow, air sealing and ventilation controls</w:t>
      </w:r>
      <w:r>
        <w:t>, h</w:t>
      </w:r>
      <w:r w:rsidRPr="00F83612">
        <w:t>ighly insulated window</w:t>
      </w:r>
      <w:r>
        <w:t>s, i</w:t>
      </w:r>
      <w:r w:rsidRPr="00F87F89">
        <w:t>ntegrated storage</w:t>
      </w:r>
      <w:r w:rsidR="001845E3">
        <w:t>,</w:t>
      </w:r>
      <w:r w:rsidRPr="00F87F89">
        <w:t xml:space="preserve"> and building-integrated photovoltaics (BIPV).</w:t>
      </w:r>
    </w:p>
    <w:p w14:paraId="6BFD267B" w14:textId="77777777" w:rsidR="005664F0" w:rsidRDefault="005664F0" w:rsidP="005664F0">
      <w:pPr>
        <w:pStyle w:val="Prrafodelista"/>
        <w:numPr>
          <w:ilvl w:val="0"/>
          <w:numId w:val="36"/>
        </w:numPr>
        <w:spacing w:after="160" w:line="259" w:lineRule="auto"/>
      </w:pPr>
      <w:r>
        <w:t>Better r</w:t>
      </w:r>
      <w:r w:rsidRPr="00B34CED">
        <w:t xml:space="preserve">egional interconnection </w:t>
      </w:r>
      <w:r>
        <w:t>models</w:t>
      </w:r>
      <w:r w:rsidRPr="00B34CED">
        <w:t xml:space="preserve"> with neighboring countries</w:t>
      </w:r>
      <w:r>
        <w:t xml:space="preserve"> should be undertaken, as part of the ramp up of the Central American Energy Market (MER in Spanish) that countries like Guatemala are demanding from the other ones. As mentioned before, these models should consider the possibility of long-term contracts, grant access to large private stakeholders and allow for transactions between those private agents (especially, distribution companies). </w:t>
      </w:r>
    </w:p>
    <w:p w14:paraId="266B9CE9" w14:textId="77777777" w:rsidR="005664F0" w:rsidRPr="00D06C47" w:rsidRDefault="005664F0" w:rsidP="005664F0">
      <w:pPr>
        <w:rPr>
          <w:b/>
          <w:bCs/>
          <w:szCs w:val="20"/>
          <w:u w:val="single"/>
        </w:rPr>
      </w:pPr>
      <w:r>
        <w:rPr>
          <w:b/>
          <w:bCs/>
          <w:szCs w:val="20"/>
          <w:u w:val="single"/>
        </w:rPr>
        <w:t>Gap on e</w:t>
      </w:r>
      <w:r w:rsidRPr="00D06C47">
        <w:rPr>
          <w:b/>
          <w:bCs/>
          <w:szCs w:val="20"/>
          <w:u w:val="single"/>
        </w:rPr>
        <w:t>arly-stage seed capital, and project finance capital needs</w:t>
      </w:r>
    </w:p>
    <w:p w14:paraId="096F52BE" w14:textId="77777777" w:rsidR="005664F0" w:rsidRDefault="005664F0" w:rsidP="005664F0">
      <w:pPr>
        <w:rPr>
          <w:szCs w:val="20"/>
        </w:rPr>
      </w:pPr>
      <w:r w:rsidRPr="00784F05">
        <w:rPr>
          <w:szCs w:val="20"/>
        </w:rPr>
        <w:t>In the Funding Life Cycle, once an idea has surpassed the concept stage</w:t>
      </w:r>
      <w:r>
        <w:rPr>
          <w:szCs w:val="20"/>
        </w:rPr>
        <w:t>,</w:t>
      </w:r>
      <w:r w:rsidRPr="00784F05">
        <w:rPr>
          <w:szCs w:val="20"/>
        </w:rPr>
        <w:t xml:space="preserve"> the next stage of a new venture is known as the “</w:t>
      </w:r>
      <w:r>
        <w:rPr>
          <w:szCs w:val="20"/>
        </w:rPr>
        <w:t>s</w:t>
      </w:r>
      <w:r w:rsidRPr="00784F05">
        <w:rPr>
          <w:szCs w:val="20"/>
        </w:rPr>
        <w:t xml:space="preserve">eed </w:t>
      </w:r>
      <w:r>
        <w:rPr>
          <w:szCs w:val="20"/>
        </w:rPr>
        <w:t>s</w:t>
      </w:r>
      <w:r w:rsidRPr="00784F05">
        <w:rPr>
          <w:szCs w:val="20"/>
        </w:rPr>
        <w:t xml:space="preserve">tage”. </w:t>
      </w:r>
      <w:r>
        <w:rPr>
          <w:szCs w:val="20"/>
        </w:rPr>
        <w:t xml:space="preserve">Since Central American countries are not developer agents </w:t>
      </w:r>
      <w:r w:rsidRPr="00784F05">
        <w:rPr>
          <w:szCs w:val="20"/>
        </w:rPr>
        <w:t>of new renewable energy technologies, but integrators of them</w:t>
      </w:r>
      <w:r>
        <w:rPr>
          <w:szCs w:val="20"/>
        </w:rPr>
        <w:t>, the concept of “seed stage” would apply to the following business initiatives:</w:t>
      </w:r>
    </w:p>
    <w:p w14:paraId="0EC5EA10" w14:textId="137A1A28" w:rsidR="005664F0" w:rsidRDefault="005664F0" w:rsidP="005664F0">
      <w:pPr>
        <w:pStyle w:val="Prrafodelista"/>
        <w:numPr>
          <w:ilvl w:val="0"/>
          <w:numId w:val="37"/>
        </w:numPr>
        <w:spacing w:after="160" w:line="259" w:lineRule="auto"/>
      </w:pPr>
      <w:r w:rsidRPr="003473DA">
        <w:rPr>
          <w:b/>
          <w:bCs/>
        </w:rPr>
        <w:t>Impact Funds</w:t>
      </w:r>
      <w:r w:rsidRPr="009B749F">
        <w:t>, risk capital type, that invest in the execution of pilot projects that incorporate the latest advances in renewable energy technologies and energy efficiency. Not only projects on the supply side (generation), but also on the demand side (distribution and final consumption). For example, pilot projects for Smart Grid, Big Data, mini- and off-grid systems, low enthalpy geothermal, deep cycle and high-capacity battery storage, small-scale solar-hydro hybrid systems connected to the grid, biogas plants in agro-industrial facilities, Combined Heat &amp; Power (CHP), fleets of electric vehicles and electr</w:t>
      </w:r>
      <w:r>
        <w:t>ic charging</w:t>
      </w:r>
      <w:r w:rsidRPr="009B749F">
        <w:t xml:space="preserve"> stations, </w:t>
      </w:r>
      <w:r>
        <w:t xml:space="preserve">bioenergy plants for thermal uses, </w:t>
      </w:r>
      <w:r w:rsidRPr="009B749F">
        <w:t xml:space="preserve">hydrogen for </w:t>
      </w:r>
      <w:r>
        <w:t>electricity</w:t>
      </w:r>
      <w:r w:rsidRPr="009B749F">
        <w:t>, 5G communication networks. Distributed generation and self-consumption projects are a priority in this regard.</w:t>
      </w:r>
    </w:p>
    <w:p w14:paraId="4E4A36BD" w14:textId="77777777" w:rsidR="005664F0" w:rsidRDefault="005664F0" w:rsidP="005664F0">
      <w:pPr>
        <w:pStyle w:val="Prrafodelista"/>
        <w:numPr>
          <w:ilvl w:val="0"/>
          <w:numId w:val="0"/>
        </w:numPr>
        <w:spacing w:after="160" w:line="259" w:lineRule="auto"/>
        <w:ind w:left="770"/>
      </w:pPr>
    </w:p>
    <w:p w14:paraId="59B133A4" w14:textId="77777777" w:rsidR="005664F0" w:rsidRPr="009B749F" w:rsidRDefault="005664F0" w:rsidP="005664F0">
      <w:pPr>
        <w:pStyle w:val="Prrafodelista"/>
        <w:numPr>
          <w:ilvl w:val="0"/>
          <w:numId w:val="37"/>
        </w:numPr>
        <w:spacing w:after="160" w:line="259" w:lineRule="auto"/>
      </w:pPr>
      <w:r w:rsidRPr="003751E8">
        <w:rPr>
          <w:b/>
          <w:bCs/>
        </w:rPr>
        <w:t>Seed capital and working capital</w:t>
      </w:r>
      <w:r w:rsidRPr="003751E8">
        <w:t xml:space="preserve"> for: i) companies that develop clean energy projects: EPC</w:t>
      </w:r>
      <w:r>
        <w:rPr>
          <w:rStyle w:val="Refdenotaalpie"/>
        </w:rPr>
        <w:footnoteReference w:id="25"/>
      </w:r>
      <w:r w:rsidRPr="003751E8">
        <w:t xml:space="preserve"> companies in the case of renewable energy projects, and ESCO</w:t>
      </w:r>
      <w:r>
        <w:rPr>
          <w:rStyle w:val="Refdenotaalpie"/>
        </w:rPr>
        <w:footnoteReference w:id="26"/>
      </w:r>
      <w:r w:rsidRPr="00725E37">
        <w:t xml:space="preserve"> </w:t>
      </w:r>
      <w:r>
        <w:t>companies</w:t>
      </w:r>
      <w:r w:rsidRPr="003751E8">
        <w:t xml:space="preserve"> in the case of energy efficiency; ii) companies that provide services for the measurement and evaluation of natural resources, which incorporate the use of low-cost prospective technologies, especially for wind and geothermal, technologies that require high investments in their prospecting stage; iii) outsourcing service companies for measurement, reporting and certification of the amounts of renewable energy generated, energy saved and carbon emissions reduced. The availability and transparency of this information is essential to be able to justify the issuance of carbon credits, green bonds and green credit lines for clean energy projects.</w:t>
      </w:r>
    </w:p>
    <w:p w14:paraId="64601BBA" w14:textId="036471A4" w:rsidR="00463081" w:rsidRDefault="003F6FBC" w:rsidP="005664F0">
      <w:pPr>
        <w:rPr>
          <w:szCs w:val="20"/>
        </w:rPr>
      </w:pPr>
      <w:r w:rsidRPr="003F6FBC">
        <w:rPr>
          <w:szCs w:val="20"/>
        </w:rPr>
        <w:t xml:space="preserve">There is currently no source in Central America </w:t>
      </w:r>
      <w:r>
        <w:rPr>
          <w:szCs w:val="20"/>
        </w:rPr>
        <w:t>offering</w:t>
      </w:r>
      <w:r w:rsidRPr="003F6FBC">
        <w:rPr>
          <w:szCs w:val="20"/>
        </w:rPr>
        <w:t xml:space="preserve"> seed capital for clean energy ventures. There are some venture capital funds and angel investors, but they are aimed more at the IT sector.</w:t>
      </w:r>
      <w:r>
        <w:rPr>
          <w:szCs w:val="20"/>
        </w:rPr>
        <w:t xml:space="preserve"> </w:t>
      </w:r>
      <w:r w:rsidRPr="003F6FBC">
        <w:rPr>
          <w:szCs w:val="20"/>
        </w:rPr>
        <w:t xml:space="preserve">For a later stage of </w:t>
      </w:r>
      <w:r>
        <w:rPr>
          <w:szCs w:val="20"/>
        </w:rPr>
        <w:t xml:space="preserve">business </w:t>
      </w:r>
      <w:r w:rsidRPr="003F6FBC">
        <w:rPr>
          <w:szCs w:val="20"/>
        </w:rPr>
        <w:t xml:space="preserve">development (growth capital, or </w:t>
      </w:r>
      <w:r>
        <w:rPr>
          <w:szCs w:val="20"/>
        </w:rPr>
        <w:t>p</w:t>
      </w:r>
      <w:r w:rsidRPr="003F6FBC">
        <w:rPr>
          <w:szCs w:val="20"/>
        </w:rPr>
        <w:t>roject finance), there are some mezzanine funds operat</w:t>
      </w:r>
      <w:r>
        <w:rPr>
          <w:szCs w:val="20"/>
        </w:rPr>
        <w:t xml:space="preserve">ing </w:t>
      </w:r>
      <w:r w:rsidRPr="003F6FBC">
        <w:rPr>
          <w:szCs w:val="20"/>
        </w:rPr>
        <w:t xml:space="preserve">in the region, such as MPC Capital, MGM Innova Capital, HREFF-CABEF and some European development bank funds that offer this type of financing. They normally invest </w:t>
      </w:r>
      <w:r>
        <w:rPr>
          <w:szCs w:val="20"/>
        </w:rPr>
        <w:t xml:space="preserve">starting at </w:t>
      </w:r>
      <w:r w:rsidRPr="003F6FBC">
        <w:rPr>
          <w:szCs w:val="20"/>
        </w:rPr>
        <w:t>USD 1 MM, and some from much larger figures than that.</w:t>
      </w:r>
      <w:r w:rsidR="00463081">
        <w:rPr>
          <w:szCs w:val="20"/>
        </w:rPr>
        <w:t xml:space="preserve"> </w:t>
      </w:r>
      <w:r w:rsidR="00463081" w:rsidRPr="00463081">
        <w:rPr>
          <w:szCs w:val="20"/>
        </w:rPr>
        <w:t xml:space="preserve">This minimum investment scale affects a good part of distributed generation and energy </w:t>
      </w:r>
      <w:r w:rsidR="00F82437">
        <w:rPr>
          <w:szCs w:val="20"/>
        </w:rPr>
        <w:t>efficiency</w:t>
      </w:r>
      <w:r w:rsidR="00463081" w:rsidRPr="00463081">
        <w:rPr>
          <w:szCs w:val="20"/>
        </w:rPr>
        <w:t xml:space="preserve"> projects, which tend to be much smaller than this threshold, especially when the sponsors are SME companies.</w:t>
      </w:r>
    </w:p>
    <w:p w14:paraId="16722541" w14:textId="785EB559" w:rsidR="002339E7" w:rsidRPr="00472B84" w:rsidRDefault="005664F0" w:rsidP="005664F0">
      <w:r w:rsidRPr="00725E37">
        <w:rPr>
          <w:szCs w:val="20"/>
        </w:rPr>
        <w:t xml:space="preserve">In addition to the need to </w:t>
      </w:r>
      <w:r>
        <w:rPr>
          <w:szCs w:val="20"/>
        </w:rPr>
        <w:t>provide</w:t>
      </w:r>
      <w:r w:rsidRPr="00725E37">
        <w:rPr>
          <w:szCs w:val="20"/>
        </w:rPr>
        <w:t xml:space="preserve"> seed capital for the most innovative initiatives, long-term capital is required to finance the scaling-up and replication of projects</w:t>
      </w:r>
      <w:r w:rsidR="003F6FBC">
        <w:rPr>
          <w:szCs w:val="20"/>
        </w:rPr>
        <w:t xml:space="preserve">, as well as for the renovation and expansion of old RE installations that are reaching their useful life. </w:t>
      </w:r>
    </w:p>
    <w:p w14:paraId="49969F60" w14:textId="2BB79867" w:rsidR="002339E7" w:rsidRPr="00472B84" w:rsidRDefault="002339E7" w:rsidP="00336136">
      <w:pPr>
        <w:pStyle w:val="Ttulo2"/>
        <w:spacing w:before="0" w:line="240" w:lineRule="auto"/>
      </w:pPr>
      <w:bookmarkStart w:id="33" w:name="_Toc90453977"/>
      <w:r w:rsidRPr="00472B84">
        <w:t>Recommendations on financial mechanisms to invest in RE market niches</w:t>
      </w:r>
      <w:bookmarkEnd w:id="33"/>
    </w:p>
    <w:p w14:paraId="3BFFFF93" w14:textId="401576F0" w:rsidR="00B54936" w:rsidRPr="00725E37" w:rsidRDefault="00B54936" w:rsidP="00B54936">
      <w:pPr>
        <w:rPr>
          <w:szCs w:val="20"/>
        </w:rPr>
      </w:pPr>
      <w:r w:rsidRPr="00725E37">
        <w:rPr>
          <w:szCs w:val="20"/>
        </w:rPr>
        <w:t>Th</w:t>
      </w:r>
      <w:r w:rsidR="001845E3">
        <w:rPr>
          <w:szCs w:val="20"/>
        </w:rPr>
        <w:t>e</w:t>
      </w:r>
      <w:r w:rsidRPr="00725E37">
        <w:rPr>
          <w:szCs w:val="20"/>
        </w:rPr>
        <w:t xml:space="preserve"> </w:t>
      </w:r>
      <w:r>
        <w:rPr>
          <w:szCs w:val="20"/>
        </w:rPr>
        <w:t>following</w:t>
      </w:r>
      <w:r w:rsidRPr="00725E37">
        <w:rPr>
          <w:szCs w:val="20"/>
        </w:rPr>
        <w:t xml:space="preserve"> </w:t>
      </w:r>
      <w:r w:rsidRPr="00152863">
        <w:rPr>
          <w:b/>
          <w:bCs/>
          <w:szCs w:val="20"/>
        </w:rPr>
        <w:t>Finance Instruments and Mechanisms</w:t>
      </w:r>
      <w:r>
        <w:rPr>
          <w:szCs w:val="20"/>
        </w:rPr>
        <w:t xml:space="preserve"> </w:t>
      </w:r>
      <w:r w:rsidRPr="00725E37">
        <w:rPr>
          <w:szCs w:val="20"/>
        </w:rPr>
        <w:t xml:space="preserve">can </w:t>
      </w:r>
      <w:r>
        <w:rPr>
          <w:szCs w:val="20"/>
        </w:rPr>
        <w:t>be used to support a further expansion of Renewable Energy and Energy Efficiency markets in Central America</w:t>
      </w:r>
      <w:r w:rsidRPr="00725E37">
        <w:rPr>
          <w:szCs w:val="20"/>
        </w:rPr>
        <w:t>:</w:t>
      </w:r>
    </w:p>
    <w:p w14:paraId="66FC8404" w14:textId="77777777" w:rsidR="00B54936" w:rsidRPr="007010D4" w:rsidRDefault="00B54936" w:rsidP="00B54936">
      <w:pPr>
        <w:pStyle w:val="Prrafodelista"/>
        <w:numPr>
          <w:ilvl w:val="0"/>
          <w:numId w:val="41"/>
        </w:numPr>
        <w:spacing w:after="160" w:line="259" w:lineRule="auto"/>
      </w:pPr>
      <w:r w:rsidRPr="007010D4">
        <w:t xml:space="preserve">Long-term credit lines with a green climate approach (mitigation and adaptation) </w:t>
      </w:r>
      <w:r>
        <w:t xml:space="preserve">which </w:t>
      </w:r>
      <w:r w:rsidRPr="007010D4">
        <w:t>are offered to commercial banks and other Central American financial institutions by international development financial institutions, among which</w:t>
      </w:r>
      <w:r>
        <w:t>:</w:t>
      </w:r>
      <w:r w:rsidRPr="007010D4">
        <w:t xml:space="preserve"> the IDB Group, the IFC/World Bank, the Central American Bank for Economic Integration (CABEI), the Development Bank of Latin America (CAF), and the institutions that make up the EDFI (European Development Finance Institutions), such as BIO, CDC, COFIDES, KfW/DEG, Finnfund, FMO , IFU, Norfund, PROPARCO, Swedfund, among others.</w:t>
      </w:r>
    </w:p>
    <w:p w14:paraId="00617096" w14:textId="77777777" w:rsidR="00B54936" w:rsidRPr="007010D4" w:rsidRDefault="00B54936" w:rsidP="00B54936">
      <w:pPr>
        <w:pStyle w:val="Prrafodelista"/>
        <w:numPr>
          <w:ilvl w:val="0"/>
          <w:numId w:val="41"/>
        </w:numPr>
        <w:spacing w:after="160" w:line="259" w:lineRule="auto"/>
      </w:pPr>
      <w:r w:rsidRPr="007010D4">
        <w:t>Equity and Quasi-equity funds, intended to complement the equity capital contributions of project developers and share their risk, while complying with the minimum requirement established by banks in the region to be able to grant a loan. These minimum requirements usually imply an equity contribution of at least 30% (in some cases it rises to 35%) of the total amount of the initial investment. Equity and quasi-equity funds allow sponsors to only contribute a part of this percentage (for example, 10% or 15%, with the Venture Capital Funds taking care of the rest. For this, the investment modalities include the purchase of common shares, preferred shares</w:t>
      </w:r>
      <w:r>
        <w:t>,</w:t>
      </w:r>
      <w:r w:rsidRPr="007010D4">
        <w:t xml:space="preserve"> or subordinated debt. This means that the investment </w:t>
      </w:r>
      <w:r>
        <w:t>i</w:t>
      </w:r>
      <w:r w:rsidRPr="007010D4">
        <w:t xml:space="preserve">s either unsecured or has lower priority than senior debt provided by the banks. </w:t>
      </w:r>
    </w:p>
    <w:p w14:paraId="3528E9E2" w14:textId="03E40818" w:rsidR="00B54936" w:rsidRDefault="00B54936" w:rsidP="00B54936">
      <w:pPr>
        <w:pStyle w:val="Prrafodelista"/>
        <w:numPr>
          <w:ilvl w:val="0"/>
          <w:numId w:val="41"/>
        </w:numPr>
        <w:spacing w:after="160" w:line="259" w:lineRule="auto"/>
      </w:pPr>
      <w:r w:rsidRPr="007010D4">
        <w:t>Impact Bonds, financed by development banks, cooperation agencies or international non-profit foundations</w:t>
      </w:r>
      <w:r w:rsidR="001845E3">
        <w:t xml:space="preserve">, </w:t>
      </w:r>
      <w:r w:rsidRPr="006E5317">
        <w:t>are a form of results-based financing often used</w:t>
      </w:r>
      <w:r w:rsidR="001845E3">
        <w:t xml:space="preserve"> for</w:t>
      </w:r>
      <w:r w:rsidRPr="006E5317">
        <w:t xml:space="preserve"> social services and environmental programs. Generally, they are structured so</w:t>
      </w:r>
      <w:r>
        <w:t xml:space="preserve"> that</w:t>
      </w:r>
      <w:r w:rsidRPr="006E5317">
        <w:t xml:space="preserve"> the investor provides initial capital, and the investment is repaid when the project achieves predetermined goals</w:t>
      </w:r>
      <w:r>
        <w:t xml:space="preserve"> (like a threshold of annual mitigation of GHG)</w:t>
      </w:r>
      <w:r w:rsidRPr="006E5317">
        <w:t xml:space="preserve">. Repayment of the bond is contingent on the project realizing set outcomes; if necessary, to attract investors, it is possible to mitigate repayment risk with a guarantee. </w:t>
      </w:r>
      <w:r w:rsidR="001845E3">
        <w:t>The focus of i</w:t>
      </w:r>
      <w:r>
        <w:t>mpact bonds shift from the mere construction of a project to its real environmental outcomes.</w:t>
      </w:r>
    </w:p>
    <w:p w14:paraId="7DA15033" w14:textId="53D2755E" w:rsidR="00B54936" w:rsidRPr="007010D4" w:rsidRDefault="00B54936" w:rsidP="00B54936">
      <w:pPr>
        <w:pStyle w:val="Prrafodelista"/>
        <w:numPr>
          <w:ilvl w:val="0"/>
          <w:numId w:val="41"/>
        </w:numPr>
        <w:spacing w:after="160" w:line="259" w:lineRule="auto"/>
      </w:pPr>
      <w:r w:rsidRPr="007010D4">
        <w:t>Technical Assistance F</w:t>
      </w:r>
      <w:r w:rsidR="007763F9">
        <w:t>acilities</w:t>
      </w:r>
      <w:r w:rsidRPr="007010D4">
        <w:t xml:space="preserve"> for financial institutions</w:t>
      </w:r>
      <w:r w:rsidR="007763F9">
        <w:t>,</w:t>
      </w:r>
      <w:r w:rsidRPr="007010D4">
        <w:t xml:space="preserve"> public institutions and universities in association with unions or private companies, to develop studies and pilot projects that are scalable and replicable, especially in the market niches that have been prioritized in this study.</w:t>
      </w:r>
    </w:p>
    <w:p w14:paraId="308EBF98" w14:textId="5516FB2F" w:rsidR="00B54936" w:rsidRDefault="00B54936" w:rsidP="00B54936">
      <w:pPr>
        <w:pStyle w:val="Prrafodelista"/>
        <w:numPr>
          <w:ilvl w:val="0"/>
          <w:numId w:val="41"/>
        </w:numPr>
        <w:spacing w:after="160" w:line="259" w:lineRule="auto"/>
      </w:pPr>
      <w:r w:rsidRPr="007010D4">
        <w:t>Guarantee Funds, which make it possible to cover part of the</w:t>
      </w:r>
      <w:r>
        <w:t xml:space="preserve"> eventual</w:t>
      </w:r>
      <w:r w:rsidRPr="007010D4">
        <w:t xml:space="preserve"> losses of financial institutions </w:t>
      </w:r>
      <w:r>
        <w:t>when investing in non-conventional or innovative</w:t>
      </w:r>
      <w:r w:rsidRPr="007010D4">
        <w:t xml:space="preserve"> </w:t>
      </w:r>
      <w:r w:rsidR="007763F9">
        <w:t>RE</w:t>
      </w:r>
      <w:r w:rsidRPr="007010D4">
        <w:t xml:space="preserve"> project</w:t>
      </w:r>
      <w:r>
        <w:t>s</w:t>
      </w:r>
      <w:r w:rsidRPr="007010D4">
        <w:t>, wh</w:t>
      </w:r>
      <w:r>
        <w:t>en they</w:t>
      </w:r>
      <w:r w:rsidRPr="007010D4">
        <w:t xml:space="preserve"> ha</w:t>
      </w:r>
      <w:r>
        <w:t>ve</w:t>
      </w:r>
      <w:r w:rsidRPr="007010D4">
        <w:t xml:space="preserve"> failed in </w:t>
      </w:r>
      <w:r>
        <w:t xml:space="preserve">their </w:t>
      </w:r>
      <w:r w:rsidRPr="007010D4">
        <w:t>projections, beyond the coverage offered by insurance for material damage or temporary business interruption.</w:t>
      </w:r>
    </w:p>
    <w:p w14:paraId="6F5908DA" w14:textId="29026485" w:rsidR="00B54936" w:rsidRPr="00E81203" w:rsidRDefault="00B54936" w:rsidP="00B54936">
      <w:pPr>
        <w:pStyle w:val="Prrafodelista"/>
        <w:numPr>
          <w:ilvl w:val="0"/>
          <w:numId w:val="41"/>
        </w:numPr>
        <w:spacing w:after="160" w:line="259" w:lineRule="auto"/>
      </w:pPr>
      <w:r>
        <w:t xml:space="preserve">Carbon Markets. </w:t>
      </w:r>
      <w:r w:rsidRPr="00E81203">
        <w:t xml:space="preserve">Greater penetration of renewable technologies in Central American transmission and distribution networks should be accompanied by the development of national and regional carbon markets, and integration into international carbon credit markets when the application of Chapter 6 of the </w:t>
      </w:r>
      <w:r>
        <w:t xml:space="preserve">Paris </w:t>
      </w:r>
      <w:r w:rsidRPr="00E81203">
        <w:t>Agreement has been clarified</w:t>
      </w:r>
      <w:r>
        <w:t>. This chapter</w:t>
      </w:r>
      <w:r w:rsidRPr="00E81203">
        <w:t xml:space="preserve"> is the one that will regulate th</w:t>
      </w:r>
      <w:r w:rsidR="001845E3">
        <w:t>ese</w:t>
      </w:r>
      <w:r w:rsidRPr="00E81203">
        <w:t xml:space="preserve"> type</w:t>
      </w:r>
      <w:r w:rsidR="001845E3">
        <w:t>s</w:t>
      </w:r>
      <w:r w:rsidRPr="00E81203">
        <w:t xml:space="preserve"> of transaction</w:t>
      </w:r>
      <w:r>
        <w:t>s</w:t>
      </w:r>
      <w:r w:rsidR="008B11E7">
        <w:t xml:space="preserve"> in the future (when the parties agree on it</w:t>
      </w:r>
      <w:r w:rsidRPr="00E81203">
        <w:t xml:space="preserve">). During the term of the Kyoto Protocol, many renewable energy projects in the region signed agreements with the Clean Development Mechanism, and some even keep the registry of their carbon credits active while waiting for a new market to open for them. </w:t>
      </w:r>
    </w:p>
    <w:p w14:paraId="45B57CD8" w14:textId="77777777" w:rsidR="00B54936" w:rsidRDefault="00B54936" w:rsidP="00B54936">
      <w:pPr>
        <w:pStyle w:val="Prrafodelista"/>
        <w:numPr>
          <w:ilvl w:val="0"/>
          <w:numId w:val="41"/>
        </w:numPr>
        <w:spacing w:after="160" w:line="259" w:lineRule="auto"/>
      </w:pPr>
      <w:r>
        <w:t>Green</w:t>
      </w:r>
      <w:r w:rsidRPr="00CB3709">
        <w:t xml:space="preserve"> </w:t>
      </w:r>
      <w:r>
        <w:t>B</w:t>
      </w:r>
      <w:r w:rsidRPr="00CB3709">
        <w:t>onds. These are fixed-income financial instruments, which can be placed for both public and private offerings, just like any bond that circulates in the stock market. The difference is that green bonds focus on projects that help mitigate the effect of climate change (which is why they are</w:t>
      </w:r>
      <w:r>
        <w:t xml:space="preserve"> also</w:t>
      </w:r>
      <w:r w:rsidRPr="00CB3709">
        <w:t xml:space="preserve"> called “climate bonds”), such as renewable energy, </w:t>
      </w:r>
      <w:r>
        <w:t>efficient buildings and infrastructure</w:t>
      </w:r>
      <w:r w:rsidRPr="00CB3709">
        <w:t>, and low-emission transportation.</w:t>
      </w:r>
    </w:p>
    <w:p w14:paraId="5E8348CD" w14:textId="43C90DF8" w:rsidR="00B54936" w:rsidRPr="00CB3709" w:rsidRDefault="00B54936" w:rsidP="00B54936">
      <w:pPr>
        <w:pStyle w:val="Prrafodelista"/>
        <w:numPr>
          <w:ilvl w:val="0"/>
          <w:numId w:val="41"/>
        </w:numPr>
        <w:spacing w:after="160" w:line="259" w:lineRule="auto"/>
      </w:pPr>
      <w:r w:rsidRPr="00CB3709">
        <w:t xml:space="preserve">Parametric </w:t>
      </w:r>
      <w:r>
        <w:t>w</w:t>
      </w:r>
      <w:r w:rsidRPr="00CB3709">
        <w:t xml:space="preserve">eather </w:t>
      </w:r>
      <w:r>
        <w:t>i</w:t>
      </w:r>
      <w:r w:rsidRPr="00CB3709">
        <w:t xml:space="preserve">nsurance </w:t>
      </w:r>
      <w:r>
        <w:t>p</w:t>
      </w:r>
      <w:r w:rsidRPr="00CB3709">
        <w:t xml:space="preserve">roducts for Renewable Energy </w:t>
      </w:r>
      <w:r>
        <w:t>p</w:t>
      </w:r>
      <w:r w:rsidRPr="00CB3709">
        <w:t>rojects can also be promoted, aimed at mitigating the risk of generation in hydroelectric, solar or wind projects, caused by extraordinary deficits of the renewable resource. Central America is one of the regions of the World with higher vulnerability to Climate Change and extreme weather conditions like storms, floods, and droughts. As the participation of the mentioned technologies increase, so is the need for better weather risk management strategies for RE developers and other stakeholders in the industry (banks, insurers</w:t>
      </w:r>
      <w:r w:rsidR="001845E3">
        <w:t>,</w:t>
      </w:r>
      <w:r w:rsidRPr="00CB3709">
        <w:t xml:space="preserve"> and insurance regulatory agencies). Big fluctuations on production pose a credit risk on RE entrepreneurs, many of which do not have the possibility to diversify weather risk among different projects, different regions an</w:t>
      </w:r>
      <w:r>
        <w:t>d</w:t>
      </w:r>
      <w:r w:rsidRPr="00CB3709">
        <w:t>/or different complementary technologies. Parametric weather insurance products are insurance policies based on a selected weather parameter (or index) like rainfall, wind flows or solar radiation in a defined period, or a combination of a few agreed parameters. If the correlation between the selected parameter and the income loss resulting from a severe deficit is high, loss</w:t>
      </w:r>
      <w:r>
        <w:t xml:space="preserve"> compensation</w:t>
      </w:r>
      <w:r w:rsidRPr="00CB3709">
        <w:t xml:space="preserve"> can be triggered when the parameter falls under a predefined threshold. The RE developer will manage to sustain a deficit until a point in which the insurance with take care of it.</w:t>
      </w:r>
    </w:p>
    <w:p w14:paraId="4D88CCDD" w14:textId="43E78334" w:rsidR="00472B84" w:rsidRPr="00472B84" w:rsidRDefault="00B54936" w:rsidP="007763F9">
      <w:pPr>
        <w:pStyle w:val="Prrafodelista"/>
        <w:numPr>
          <w:ilvl w:val="0"/>
          <w:numId w:val="41"/>
        </w:numPr>
        <w:spacing w:after="160" w:line="259" w:lineRule="auto"/>
      </w:pPr>
      <w:r>
        <w:t>Increased adoption of sustainability certifications for buildings</w:t>
      </w:r>
      <w:r>
        <w:rPr>
          <w:rStyle w:val="Refdenotaalpie"/>
        </w:rPr>
        <w:footnoteReference w:id="27"/>
      </w:r>
      <w:r>
        <w:t>, and energy-consumption equipment</w:t>
      </w:r>
      <w:r>
        <w:rPr>
          <w:rStyle w:val="Refdenotaalpie"/>
        </w:rPr>
        <w:footnoteReference w:id="28"/>
      </w:r>
      <w:r>
        <w:t>, as part of financing requirements.</w:t>
      </w:r>
    </w:p>
    <w:p w14:paraId="65E61CB1" w14:textId="1792E5BD" w:rsidR="002339E7" w:rsidRPr="00472B84" w:rsidRDefault="002339E7" w:rsidP="00336136">
      <w:pPr>
        <w:pStyle w:val="Ttulo1"/>
        <w:spacing w:before="0" w:after="160" w:line="240" w:lineRule="auto"/>
      </w:pPr>
      <w:bookmarkStart w:id="34" w:name="_Toc90453978"/>
      <w:r w:rsidRPr="00472B84">
        <w:t>Annexes</w:t>
      </w:r>
      <w:bookmarkEnd w:id="34"/>
    </w:p>
    <w:p w14:paraId="07D618ED" w14:textId="35618E25" w:rsidR="00E2142E" w:rsidRDefault="00E2142E" w:rsidP="00E2142E">
      <w:pPr>
        <w:pStyle w:val="Ttulo2"/>
      </w:pPr>
      <w:bookmarkStart w:id="35" w:name="_Toc90453979"/>
      <w:r>
        <w:t>Annex 1</w:t>
      </w:r>
      <w:r w:rsidR="00526190">
        <w:t xml:space="preserve">. </w:t>
      </w:r>
      <w:r w:rsidR="00CE618E">
        <w:t>H</w:t>
      </w:r>
      <w:r w:rsidR="00526190">
        <w:t>istorical installed capacity</w:t>
      </w:r>
      <w:r w:rsidR="00CE618E">
        <w:t xml:space="preserve"> per country</w:t>
      </w:r>
      <w:bookmarkEnd w:id="35"/>
    </w:p>
    <w:p w14:paraId="3B86E48F" w14:textId="77777777" w:rsidR="00E2142E" w:rsidRPr="00AF6E20" w:rsidRDefault="00E2142E" w:rsidP="00E2142E">
      <w:pPr>
        <w:rPr>
          <w:b/>
          <w:bCs/>
        </w:rPr>
      </w:pPr>
      <w:r w:rsidRPr="00AF6E20">
        <w:rPr>
          <w:b/>
          <w:bCs/>
        </w:rPr>
        <w:t>Historical Installed Capacity (MW)</w:t>
      </w:r>
    </w:p>
    <w:tbl>
      <w:tblPr>
        <w:tblStyle w:val="Tablaconcuadrcula"/>
        <w:tblpPr w:leftFromText="141" w:rightFromText="141" w:vertAnchor="text" w:horzAnchor="margin" w:tblpXSpec="center" w:tblpY="242"/>
        <w:tblW w:w="8504" w:type="dxa"/>
        <w:tblLook w:val="04A0" w:firstRow="1" w:lastRow="0" w:firstColumn="1" w:lastColumn="0" w:noHBand="0" w:noVBand="1"/>
      </w:tblPr>
      <w:tblGrid>
        <w:gridCol w:w="4251"/>
        <w:gridCol w:w="4253"/>
      </w:tblGrid>
      <w:tr w:rsidR="00E2142E" w14:paraId="7CE4605C" w14:textId="77777777" w:rsidTr="00BE001B">
        <w:trPr>
          <w:trHeight w:val="227"/>
        </w:trPr>
        <w:tc>
          <w:tcPr>
            <w:tcW w:w="8504" w:type="dxa"/>
            <w:gridSpan w:val="2"/>
            <w:tcBorders>
              <w:top w:val="single" w:sz="4" w:space="0" w:color="auto"/>
              <w:left w:val="single" w:sz="4" w:space="0" w:color="auto"/>
              <w:bottom w:val="single" w:sz="4" w:space="0" w:color="auto"/>
              <w:right w:val="single" w:sz="4" w:space="0" w:color="auto"/>
            </w:tcBorders>
            <w:vAlign w:val="center"/>
            <w:hideMark/>
          </w:tcPr>
          <w:p w14:paraId="40FB1F16" w14:textId="77777777" w:rsidR="00E2142E" w:rsidRDefault="00E2142E" w:rsidP="00BE001B">
            <w:pPr>
              <w:jc w:val="center"/>
              <w:rPr>
                <w:b/>
                <w:bCs/>
                <w:noProof/>
                <w:sz w:val="16"/>
                <w:szCs w:val="16"/>
              </w:rPr>
            </w:pPr>
            <w:r>
              <w:rPr>
                <w:b/>
                <w:bCs/>
                <w:noProof/>
                <w:sz w:val="16"/>
                <w:szCs w:val="16"/>
              </w:rPr>
              <w:t>Guatemala</w:t>
            </w:r>
          </w:p>
        </w:tc>
      </w:tr>
      <w:tr w:rsidR="00E2142E" w14:paraId="1DBC35F9" w14:textId="77777777" w:rsidTr="00BE001B">
        <w:trPr>
          <w:trHeight w:val="1928"/>
        </w:trPr>
        <w:tc>
          <w:tcPr>
            <w:tcW w:w="4251" w:type="dxa"/>
            <w:tcBorders>
              <w:top w:val="single" w:sz="4" w:space="0" w:color="auto"/>
              <w:left w:val="single" w:sz="4" w:space="0" w:color="auto"/>
              <w:bottom w:val="single" w:sz="4" w:space="0" w:color="auto"/>
              <w:right w:val="single" w:sz="4" w:space="0" w:color="auto"/>
            </w:tcBorders>
            <w:vAlign w:val="center"/>
            <w:hideMark/>
          </w:tcPr>
          <w:p w14:paraId="6051B3AA" w14:textId="77777777" w:rsidR="00E2142E" w:rsidRDefault="00E2142E" w:rsidP="00BE001B">
            <w:pPr>
              <w:jc w:val="center"/>
              <w:rPr>
                <w:sz w:val="16"/>
                <w:szCs w:val="16"/>
              </w:rPr>
            </w:pPr>
            <w:r>
              <w:rPr>
                <w:noProof/>
                <w:sz w:val="16"/>
                <w:szCs w:val="16"/>
              </w:rPr>
              <w:drawing>
                <wp:inline distT="0" distB="0" distL="0" distR="0" wp14:anchorId="601F5314" wp14:editId="2CC31BFB">
                  <wp:extent cx="2339340" cy="1163955"/>
                  <wp:effectExtent l="0" t="0" r="3810" b="0"/>
                  <wp:docPr id="29" name="Imagen 29"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Gráfico, Gráfico de líneas&#10;&#10;Descripción generada automáticament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39340" cy="1163955"/>
                          </a:xfrm>
                          <a:prstGeom prst="rect">
                            <a:avLst/>
                          </a:prstGeom>
                          <a:noFill/>
                          <a:ln>
                            <a:noFill/>
                          </a:ln>
                        </pic:spPr>
                      </pic:pic>
                    </a:graphicData>
                  </a:graphic>
                </wp:inline>
              </w:drawing>
            </w:r>
          </w:p>
        </w:tc>
        <w:tc>
          <w:tcPr>
            <w:tcW w:w="4253" w:type="dxa"/>
            <w:tcBorders>
              <w:top w:val="single" w:sz="4" w:space="0" w:color="auto"/>
              <w:left w:val="single" w:sz="4" w:space="0" w:color="auto"/>
              <w:bottom w:val="single" w:sz="4" w:space="0" w:color="auto"/>
              <w:right w:val="single" w:sz="4" w:space="0" w:color="auto"/>
            </w:tcBorders>
            <w:vAlign w:val="center"/>
          </w:tcPr>
          <w:p w14:paraId="39665F8B" w14:textId="77777777" w:rsidR="00E2142E" w:rsidRDefault="00E2142E" w:rsidP="00BE001B">
            <w:pPr>
              <w:rPr>
                <w:sz w:val="16"/>
                <w:szCs w:val="16"/>
              </w:rPr>
            </w:pPr>
          </w:p>
          <w:p w14:paraId="276C28B8" w14:textId="77777777" w:rsidR="00E2142E" w:rsidRDefault="00E2142E" w:rsidP="00BE001B">
            <w:pPr>
              <w:jc w:val="center"/>
              <w:rPr>
                <w:sz w:val="16"/>
                <w:szCs w:val="16"/>
              </w:rPr>
            </w:pPr>
            <w:r>
              <w:rPr>
                <w:noProof/>
                <w:sz w:val="16"/>
                <w:szCs w:val="16"/>
              </w:rPr>
              <w:drawing>
                <wp:inline distT="0" distB="0" distL="0" distR="0" wp14:anchorId="54152D5F" wp14:editId="4B7A7066">
                  <wp:extent cx="2339340" cy="1187450"/>
                  <wp:effectExtent l="0" t="0" r="3810" b="0"/>
                  <wp:docPr id="28" name="Imagen 28"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Gráfico, Gráfico de líneas&#10;&#10;Descripción generada automáticament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39340" cy="1187450"/>
                          </a:xfrm>
                          <a:prstGeom prst="rect">
                            <a:avLst/>
                          </a:prstGeom>
                          <a:noFill/>
                          <a:ln>
                            <a:noFill/>
                          </a:ln>
                        </pic:spPr>
                      </pic:pic>
                    </a:graphicData>
                  </a:graphic>
                </wp:inline>
              </w:drawing>
            </w:r>
          </w:p>
          <w:p w14:paraId="7B62F0C8" w14:textId="77777777" w:rsidR="00E2142E" w:rsidRDefault="00E2142E" w:rsidP="00BE001B">
            <w:pPr>
              <w:jc w:val="center"/>
              <w:rPr>
                <w:sz w:val="16"/>
                <w:szCs w:val="16"/>
              </w:rPr>
            </w:pPr>
          </w:p>
        </w:tc>
      </w:tr>
      <w:tr w:rsidR="00E2142E" w14:paraId="43073037" w14:textId="77777777" w:rsidTr="00BE001B">
        <w:trPr>
          <w:trHeight w:val="227"/>
        </w:trPr>
        <w:tc>
          <w:tcPr>
            <w:tcW w:w="8504" w:type="dxa"/>
            <w:gridSpan w:val="2"/>
            <w:tcBorders>
              <w:top w:val="single" w:sz="4" w:space="0" w:color="auto"/>
              <w:left w:val="single" w:sz="4" w:space="0" w:color="auto"/>
              <w:bottom w:val="single" w:sz="4" w:space="0" w:color="auto"/>
              <w:right w:val="single" w:sz="4" w:space="0" w:color="auto"/>
            </w:tcBorders>
            <w:vAlign w:val="center"/>
            <w:hideMark/>
          </w:tcPr>
          <w:p w14:paraId="586F5B1C" w14:textId="77777777" w:rsidR="00E2142E" w:rsidRDefault="00E2142E" w:rsidP="00BE001B">
            <w:pPr>
              <w:jc w:val="center"/>
              <w:rPr>
                <w:b/>
                <w:bCs/>
                <w:noProof/>
                <w:sz w:val="16"/>
                <w:szCs w:val="16"/>
              </w:rPr>
            </w:pPr>
            <w:r>
              <w:rPr>
                <w:b/>
                <w:bCs/>
                <w:noProof/>
                <w:sz w:val="16"/>
                <w:szCs w:val="16"/>
              </w:rPr>
              <w:t>Honduras</w:t>
            </w:r>
          </w:p>
        </w:tc>
      </w:tr>
      <w:tr w:rsidR="00E2142E" w14:paraId="4ADC214E" w14:textId="77777777" w:rsidTr="00BE001B">
        <w:trPr>
          <w:trHeight w:val="1984"/>
        </w:trPr>
        <w:tc>
          <w:tcPr>
            <w:tcW w:w="4251" w:type="dxa"/>
            <w:tcBorders>
              <w:top w:val="single" w:sz="4" w:space="0" w:color="auto"/>
              <w:left w:val="single" w:sz="4" w:space="0" w:color="auto"/>
              <w:bottom w:val="single" w:sz="4" w:space="0" w:color="auto"/>
              <w:right w:val="single" w:sz="4" w:space="0" w:color="auto"/>
            </w:tcBorders>
            <w:vAlign w:val="center"/>
          </w:tcPr>
          <w:p w14:paraId="05D18F2B" w14:textId="77777777" w:rsidR="00E2142E" w:rsidRDefault="00E2142E" w:rsidP="00BE001B">
            <w:pPr>
              <w:jc w:val="center"/>
              <w:rPr>
                <w:noProof/>
                <w:sz w:val="16"/>
                <w:szCs w:val="16"/>
              </w:rPr>
            </w:pPr>
            <w:r>
              <w:rPr>
                <w:noProof/>
                <w:sz w:val="16"/>
                <w:szCs w:val="16"/>
              </w:rPr>
              <w:drawing>
                <wp:inline distT="0" distB="0" distL="0" distR="0" wp14:anchorId="3336DF8F" wp14:editId="5B2B3701">
                  <wp:extent cx="2339340" cy="1520190"/>
                  <wp:effectExtent l="0" t="0" r="3810" b="3810"/>
                  <wp:docPr id="27" name="Imagen 27"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Gráfico, Gráfico de líneas&#10;&#10;Descripción generada automáticament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39340" cy="1520190"/>
                          </a:xfrm>
                          <a:prstGeom prst="rect">
                            <a:avLst/>
                          </a:prstGeom>
                          <a:noFill/>
                          <a:ln>
                            <a:noFill/>
                          </a:ln>
                        </pic:spPr>
                      </pic:pic>
                    </a:graphicData>
                  </a:graphic>
                </wp:inline>
              </w:drawing>
            </w:r>
          </w:p>
          <w:p w14:paraId="536E0849" w14:textId="77777777" w:rsidR="00E2142E" w:rsidRDefault="00E2142E" w:rsidP="00BE001B">
            <w:pPr>
              <w:jc w:val="center"/>
              <w:rPr>
                <w:noProof/>
                <w:sz w:val="16"/>
                <w:szCs w:val="16"/>
              </w:rPr>
            </w:pPr>
          </w:p>
        </w:tc>
        <w:tc>
          <w:tcPr>
            <w:tcW w:w="4253" w:type="dxa"/>
            <w:tcBorders>
              <w:top w:val="single" w:sz="4" w:space="0" w:color="auto"/>
              <w:left w:val="single" w:sz="4" w:space="0" w:color="auto"/>
              <w:bottom w:val="single" w:sz="4" w:space="0" w:color="auto"/>
              <w:right w:val="single" w:sz="4" w:space="0" w:color="auto"/>
            </w:tcBorders>
            <w:vAlign w:val="center"/>
          </w:tcPr>
          <w:p w14:paraId="3F40C40B" w14:textId="77777777" w:rsidR="00E2142E" w:rsidRDefault="00E2142E" w:rsidP="00BE001B">
            <w:pPr>
              <w:jc w:val="center"/>
              <w:rPr>
                <w:noProof/>
                <w:sz w:val="16"/>
                <w:szCs w:val="16"/>
              </w:rPr>
            </w:pPr>
            <w:r>
              <w:rPr>
                <w:noProof/>
                <w:sz w:val="16"/>
                <w:szCs w:val="16"/>
              </w:rPr>
              <w:drawing>
                <wp:inline distT="0" distB="0" distL="0" distR="0" wp14:anchorId="23EA1B33" wp14:editId="67223457">
                  <wp:extent cx="2339340" cy="1377315"/>
                  <wp:effectExtent l="0" t="0" r="3810" b="0"/>
                  <wp:docPr id="26" name="Imagen 26"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Gráfico, Gráfico de líneas&#10;&#10;Descripción generada automáticament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39340" cy="1377315"/>
                          </a:xfrm>
                          <a:prstGeom prst="rect">
                            <a:avLst/>
                          </a:prstGeom>
                          <a:noFill/>
                          <a:ln>
                            <a:noFill/>
                          </a:ln>
                        </pic:spPr>
                      </pic:pic>
                    </a:graphicData>
                  </a:graphic>
                </wp:inline>
              </w:drawing>
            </w:r>
          </w:p>
          <w:p w14:paraId="32ADA693" w14:textId="77777777" w:rsidR="00E2142E" w:rsidRDefault="00E2142E" w:rsidP="00BE001B">
            <w:pPr>
              <w:rPr>
                <w:noProof/>
                <w:sz w:val="16"/>
                <w:szCs w:val="16"/>
              </w:rPr>
            </w:pPr>
          </w:p>
        </w:tc>
      </w:tr>
      <w:tr w:rsidR="00E2142E" w14:paraId="01AF7AE5" w14:textId="77777777" w:rsidTr="00BE001B">
        <w:trPr>
          <w:trHeight w:val="227"/>
        </w:trPr>
        <w:tc>
          <w:tcPr>
            <w:tcW w:w="8504" w:type="dxa"/>
            <w:gridSpan w:val="2"/>
            <w:tcBorders>
              <w:top w:val="single" w:sz="4" w:space="0" w:color="auto"/>
              <w:left w:val="single" w:sz="4" w:space="0" w:color="auto"/>
              <w:bottom w:val="single" w:sz="4" w:space="0" w:color="auto"/>
              <w:right w:val="single" w:sz="4" w:space="0" w:color="auto"/>
            </w:tcBorders>
            <w:vAlign w:val="center"/>
            <w:hideMark/>
          </w:tcPr>
          <w:p w14:paraId="79F6873F" w14:textId="77777777" w:rsidR="00E2142E" w:rsidRDefault="00E2142E" w:rsidP="00BE001B">
            <w:pPr>
              <w:jc w:val="center"/>
              <w:rPr>
                <w:b/>
                <w:bCs/>
                <w:noProof/>
                <w:sz w:val="16"/>
                <w:szCs w:val="16"/>
              </w:rPr>
            </w:pPr>
            <w:r>
              <w:rPr>
                <w:b/>
                <w:bCs/>
                <w:noProof/>
                <w:sz w:val="16"/>
                <w:szCs w:val="16"/>
              </w:rPr>
              <w:t>El Salvador</w:t>
            </w:r>
          </w:p>
        </w:tc>
      </w:tr>
      <w:tr w:rsidR="00E2142E" w14:paraId="39425F99" w14:textId="77777777" w:rsidTr="00BE001B">
        <w:trPr>
          <w:trHeight w:val="1984"/>
        </w:trPr>
        <w:tc>
          <w:tcPr>
            <w:tcW w:w="4251" w:type="dxa"/>
            <w:tcBorders>
              <w:top w:val="single" w:sz="4" w:space="0" w:color="auto"/>
              <w:left w:val="single" w:sz="4" w:space="0" w:color="auto"/>
              <w:bottom w:val="single" w:sz="4" w:space="0" w:color="auto"/>
              <w:right w:val="single" w:sz="4" w:space="0" w:color="auto"/>
            </w:tcBorders>
            <w:vAlign w:val="center"/>
          </w:tcPr>
          <w:p w14:paraId="440A522C" w14:textId="77777777" w:rsidR="00E2142E" w:rsidRDefault="00E2142E" w:rsidP="00BE001B">
            <w:pPr>
              <w:jc w:val="center"/>
              <w:rPr>
                <w:noProof/>
                <w:sz w:val="16"/>
                <w:szCs w:val="16"/>
              </w:rPr>
            </w:pPr>
            <w:r>
              <w:rPr>
                <w:noProof/>
                <w:sz w:val="16"/>
                <w:szCs w:val="16"/>
              </w:rPr>
              <w:drawing>
                <wp:inline distT="0" distB="0" distL="0" distR="0" wp14:anchorId="263ECC04" wp14:editId="52258A32">
                  <wp:extent cx="2339340" cy="1508125"/>
                  <wp:effectExtent l="0" t="0" r="3810" b="0"/>
                  <wp:docPr id="24" name="Imagen 24"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Gráfico, Gráfico de líneas&#10;&#10;Descripción generada automáticament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39340" cy="1508125"/>
                          </a:xfrm>
                          <a:prstGeom prst="rect">
                            <a:avLst/>
                          </a:prstGeom>
                          <a:noFill/>
                          <a:ln>
                            <a:noFill/>
                          </a:ln>
                        </pic:spPr>
                      </pic:pic>
                    </a:graphicData>
                  </a:graphic>
                </wp:inline>
              </w:drawing>
            </w:r>
          </w:p>
          <w:p w14:paraId="5AFF378E" w14:textId="77777777" w:rsidR="00E2142E" w:rsidRDefault="00E2142E" w:rsidP="00BE001B">
            <w:pPr>
              <w:jc w:val="center"/>
              <w:rPr>
                <w:noProof/>
                <w:sz w:val="16"/>
                <w:szCs w:val="16"/>
              </w:rPr>
            </w:pPr>
          </w:p>
        </w:tc>
        <w:tc>
          <w:tcPr>
            <w:tcW w:w="4253" w:type="dxa"/>
            <w:tcBorders>
              <w:top w:val="single" w:sz="4" w:space="0" w:color="auto"/>
              <w:left w:val="single" w:sz="4" w:space="0" w:color="auto"/>
              <w:bottom w:val="single" w:sz="4" w:space="0" w:color="auto"/>
              <w:right w:val="single" w:sz="4" w:space="0" w:color="auto"/>
            </w:tcBorders>
            <w:vAlign w:val="center"/>
          </w:tcPr>
          <w:p w14:paraId="0C031DB4" w14:textId="77777777" w:rsidR="00E2142E" w:rsidRDefault="00E2142E" w:rsidP="00BE001B">
            <w:pPr>
              <w:jc w:val="center"/>
              <w:rPr>
                <w:noProof/>
                <w:sz w:val="16"/>
                <w:szCs w:val="16"/>
              </w:rPr>
            </w:pPr>
            <w:r>
              <w:rPr>
                <w:noProof/>
                <w:sz w:val="16"/>
                <w:szCs w:val="16"/>
              </w:rPr>
              <w:drawing>
                <wp:inline distT="0" distB="0" distL="0" distR="0" wp14:anchorId="05338AB7" wp14:editId="255D4D33">
                  <wp:extent cx="2339340" cy="1520190"/>
                  <wp:effectExtent l="0" t="0" r="3810" b="3810"/>
                  <wp:docPr id="23" name="Imagen 23"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Gráfico, Gráfico de líneas&#10;&#10;Descripción generada automáticament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39340" cy="1520190"/>
                          </a:xfrm>
                          <a:prstGeom prst="rect">
                            <a:avLst/>
                          </a:prstGeom>
                          <a:noFill/>
                          <a:ln>
                            <a:noFill/>
                          </a:ln>
                        </pic:spPr>
                      </pic:pic>
                    </a:graphicData>
                  </a:graphic>
                </wp:inline>
              </w:drawing>
            </w:r>
          </w:p>
          <w:p w14:paraId="6E973112" w14:textId="77777777" w:rsidR="00E2142E" w:rsidRDefault="00E2142E" w:rsidP="00BE001B">
            <w:pPr>
              <w:jc w:val="center"/>
              <w:rPr>
                <w:noProof/>
                <w:sz w:val="16"/>
                <w:szCs w:val="16"/>
              </w:rPr>
            </w:pPr>
          </w:p>
        </w:tc>
      </w:tr>
      <w:tr w:rsidR="00E2142E" w14:paraId="1C226BB4" w14:textId="77777777" w:rsidTr="00BE001B">
        <w:trPr>
          <w:trHeight w:val="227"/>
        </w:trPr>
        <w:tc>
          <w:tcPr>
            <w:tcW w:w="8504" w:type="dxa"/>
            <w:gridSpan w:val="2"/>
            <w:tcBorders>
              <w:top w:val="single" w:sz="4" w:space="0" w:color="auto"/>
              <w:left w:val="single" w:sz="4" w:space="0" w:color="auto"/>
              <w:bottom w:val="single" w:sz="4" w:space="0" w:color="auto"/>
              <w:right w:val="single" w:sz="4" w:space="0" w:color="auto"/>
            </w:tcBorders>
            <w:vAlign w:val="center"/>
            <w:hideMark/>
          </w:tcPr>
          <w:p w14:paraId="425A4553" w14:textId="77777777" w:rsidR="00E2142E" w:rsidRDefault="00E2142E" w:rsidP="00BE001B">
            <w:pPr>
              <w:jc w:val="center"/>
              <w:rPr>
                <w:b/>
                <w:bCs/>
                <w:noProof/>
                <w:sz w:val="16"/>
                <w:szCs w:val="16"/>
              </w:rPr>
            </w:pPr>
            <w:r>
              <w:rPr>
                <w:b/>
                <w:bCs/>
                <w:noProof/>
                <w:sz w:val="16"/>
                <w:szCs w:val="16"/>
              </w:rPr>
              <w:t>Nicaragua</w:t>
            </w:r>
          </w:p>
        </w:tc>
      </w:tr>
      <w:tr w:rsidR="00E2142E" w14:paraId="0BB5024B" w14:textId="77777777" w:rsidTr="00BE001B">
        <w:trPr>
          <w:trHeight w:val="2268"/>
        </w:trPr>
        <w:tc>
          <w:tcPr>
            <w:tcW w:w="4251" w:type="dxa"/>
            <w:tcBorders>
              <w:top w:val="single" w:sz="4" w:space="0" w:color="auto"/>
              <w:left w:val="single" w:sz="4" w:space="0" w:color="auto"/>
              <w:bottom w:val="single" w:sz="4" w:space="0" w:color="auto"/>
              <w:right w:val="single" w:sz="4" w:space="0" w:color="auto"/>
            </w:tcBorders>
            <w:vAlign w:val="center"/>
          </w:tcPr>
          <w:p w14:paraId="6F8A971A" w14:textId="77777777" w:rsidR="00E2142E" w:rsidRDefault="00E2142E" w:rsidP="00BE001B">
            <w:pPr>
              <w:jc w:val="center"/>
              <w:rPr>
                <w:noProof/>
                <w:sz w:val="16"/>
                <w:szCs w:val="16"/>
              </w:rPr>
            </w:pPr>
            <w:r>
              <w:rPr>
                <w:noProof/>
                <w:sz w:val="16"/>
                <w:szCs w:val="16"/>
              </w:rPr>
              <w:drawing>
                <wp:inline distT="0" distB="0" distL="0" distR="0" wp14:anchorId="07675248" wp14:editId="21CC42D7">
                  <wp:extent cx="2339340" cy="1247140"/>
                  <wp:effectExtent l="0" t="0" r="3810" b="0"/>
                  <wp:docPr id="21" name="Imagen 21"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Gráfico, Gráfico de líneas&#10;&#10;Descripción generada automáticament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39340" cy="1247140"/>
                          </a:xfrm>
                          <a:prstGeom prst="rect">
                            <a:avLst/>
                          </a:prstGeom>
                          <a:noFill/>
                          <a:ln>
                            <a:noFill/>
                          </a:ln>
                        </pic:spPr>
                      </pic:pic>
                    </a:graphicData>
                  </a:graphic>
                </wp:inline>
              </w:drawing>
            </w:r>
          </w:p>
          <w:p w14:paraId="32D3C1EC" w14:textId="77777777" w:rsidR="00E2142E" w:rsidRDefault="00E2142E" w:rsidP="00BE001B">
            <w:pPr>
              <w:jc w:val="center"/>
              <w:rPr>
                <w:noProof/>
                <w:sz w:val="16"/>
                <w:szCs w:val="16"/>
              </w:rPr>
            </w:pPr>
          </w:p>
        </w:tc>
        <w:tc>
          <w:tcPr>
            <w:tcW w:w="4253" w:type="dxa"/>
            <w:tcBorders>
              <w:top w:val="single" w:sz="4" w:space="0" w:color="auto"/>
              <w:left w:val="single" w:sz="4" w:space="0" w:color="auto"/>
              <w:bottom w:val="single" w:sz="4" w:space="0" w:color="auto"/>
              <w:right w:val="single" w:sz="4" w:space="0" w:color="auto"/>
            </w:tcBorders>
            <w:vAlign w:val="center"/>
          </w:tcPr>
          <w:p w14:paraId="00C34FC8" w14:textId="77777777" w:rsidR="00E2142E" w:rsidRDefault="00E2142E" w:rsidP="00BE001B">
            <w:pPr>
              <w:jc w:val="center"/>
              <w:rPr>
                <w:noProof/>
                <w:sz w:val="16"/>
                <w:szCs w:val="16"/>
              </w:rPr>
            </w:pPr>
            <w:r>
              <w:rPr>
                <w:noProof/>
                <w:sz w:val="16"/>
                <w:szCs w:val="16"/>
              </w:rPr>
              <w:drawing>
                <wp:inline distT="0" distB="0" distL="0" distR="0" wp14:anchorId="342CEBCD" wp14:editId="3A5EEC11">
                  <wp:extent cx="2339340" cy="1270635"/>
                  <wp:effectExtent l="0" t="0" r="3810" b="5715"/>
                  <wp:docPr id="19" name="Imagen 19"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Gráfico, Gráfico de líneas&#10;&#10;Descripción generada automáticament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39340" cy="1270635"/>
                          </a:xfrm>
                          <a:prstGeom prst="rect">
                            <a:avLst/>
                          </a:prstGeom>
                          <a:noFill/>
                          <a:ln>
                            <a:noFill/>
                          </a:ln>
                        </pic:spPr>
                      </pic:pic>
                    </a:graphicData>
                  </a:graphic>
                </wp:inline>
              </w:drawing>
            </w:r>
          </w:p>
          <w:p w14:paraId="5FD86559" w14:textId="77777777" w:rsidR="00E2142E" w:rsidRDefault="00E2142E" w:rsidP="00BE001B">
            <w:pPr>
              <w:jc w:val="center"/>
              <w:rPr>
                <w:noProof/>
                <w:sz w:val="16"/>
                <w:szCs w:val="16"/>
              </w:rPr>
            </w:pPr>
          </w:p>
        </w:tc>
      </w:tr>
    </w:tbl>
    <w:p w14:paraId="3A25B8F5" w14:textId="038D47FF" w:rsidR="00E2142E" w:rsidRDefault="00E2142E" w:rsidP="00E2142E"/>
    <w:p w14:paraId="5E0FBA48" w14:textId="1C6A4249" w:rsidR="00B664F6" w:rsidRDefault="00B664F6" w:rsidP="00E2142E"/>
    <w:p w14:paraId="337DB41A" w14:textId="78730B28" w:rsidR="00B664F6" w:rsidRDefault="00B664F6" w:rsidP="00E2142E"/>
    <w:p w14:paraId="707FE2D5" w14:textId="77777777" w:rsidR="00B664F6" w:rsidRDefault="00B664F6" w:rsidP="00E2142E"/>
    <w:p w14:paraId="5435744E" w14:textId="77777777" w:rsidR="00E2142E" w:rsidRPr="00E2142E" w:rsidRDefault="00E2142E" w:rsidP="00E2142E">
      <w:pPr>
        <w:rPr>
          <w:b/>
          <w:bCs/>
        </w:rPr>
      </w:pPr>
      <w:r w:rsidRPr="00E2142E">
        <w:rPr>
          <w:b/>
          <w:bCs/>
        </w:rPr>
        <w:t>Cont. Historical Installed Capacity (MW)</w:t>
      </w:r>
    </w:p>
    <w:tbl>
      <w:tblPr>
        <w:tblStyle w:val="Tablaconcuadrcula"/>
        <w:tblpPr w:leftFromText="141" w:rightFromText="141" w:vertAnchor="text" w:horzAnchor="margin" w:tblpXSpec="center" w:tblpY="242"/>
        <w:tblW w:w="8504" w:type="dxa"/>
        <w:tblLook w:val="04A0" w:firstRow="1" w:lastRow="0" w:firstColumn="1" w:lastColumn="0" w:noHBand="0" w:noVBand="1"/>
      </w:tblPr>
      <w:tblGrid>
        <w:gridCol w:w="4251"/>
        <w:gridCol w:w="4253"/>
      </w:tblGrid>
      <w:tr w:rsidR="00E2142E" w14:paraId="3B689FBD" w14:textId="77777777" w:rsidTr="00BE001B">
        <w:trPr>
          <w:trHeight w:val="227"/>
        </w:trPr>
        <w:tc>
          <w:tcPr>
            <w:tcW w:w="8504" w:type="dxa"/>
            <w:gridSpan w:val="2"/>
            <w:tcBorders>
              <w:top w:val="single" w:sz="4" w:space="0" w:color="auto"/>
              <w:left w:val="single" w:sz="4" w:space="0" w:color="auto"/>
              <w:bottom w:val="single" w:sz="4" w:space="0" w:color="auto"/>
              <w:right w:val="single" w:sz="4" w:space="0" w:color="auto"/>
            </w:tcBorders>
            <w:vAlign w:val="center"/>
            <w:hideMark/>
          </w:tcPr>
          <w:p w14:paraId="21BBC45B" w14:textId="77777777" w:rsidR="00E2142E" w:rsidRDefault="00E2142E" w:rsidP="00BE001B">
            <w:pPr>
              <w:jc w:val="center"/>
              <w:rPr>
                <w:b/>
                <w:bCs/>
                <w:noProof/>
                <w:sz w:val="16"/>
                <w:szCs w:val="16"/>
              </w:rPr>
            </w:pPr>
            <w:r>
              <w:rPr>
                <w:b/>
                <w:bCs/>
                <w:noProof/>
                <w:sz w:val="16"/>
                <w:szCs w:val="16"/>
              </w:rPr>
              <w:t>Costa Rica</w:t>
            </w:r>
          </w:p>
        </w:tc>
      </w:tr>
      <w:tr w:rsidR="00E2142E" w14:paraId="6BBAA1A8" w14:textId="77777777" w:rsidTr="00BE001B">
        <w:trPr>
          <w:trHeight w:val="2268"/>
        </w:trPr>
        <w:tc>
          <w:tcPr>
            <w:tcW w:w="4251" w:type="dxa"/>
            <w:tcBorders>
              <w:top w:val="single" w:sz="4" w:space="0" w:color="auto"/>
              <w:left w:val="single" w:sz="4" w:space="0" w:color="auto"/>
              <w:bottom w:val="single" w:sz="4" w:space="0" w:color="auto"/>
              <w:right w:val="single" w:sz="4" w:space="0" w:color="auto"/>
            </w:tcBorders>
            <w:vAlign w:val="center"/>
            <w:hideMark/>
          </w:tcPr>
          <w:p w14:paraId="37C4F6D8" w14:textId="77777777" w:rsidR="00E2142E" w:rsidRDefault="00E2142E" w:rsidP="00BE001B">
            <w:pPr>
              <w:jc w:val="center"/>
              <w:rPr>
                <w:noProof/>
                <w:sz w:val="16"/>
                <w:szCs w:val="16"/>
              </w:rPr>
            </w:pPr>
            <w:r>
              <w:rPr>
                <w:noProof/>
                <w:sz w:val="16"/>
                <w:szCs w:val="16"/>
              </w:rPr>
              <w:drawing>
                <wp:inline distT="0" distB="0" distL="0" distR="0" wp14:anchorId="669324C9" wp14:editId="35F72057">
                  <wp:extent cx="2339340" cy="1424940"/>
                  <wp:effectExtent l="0" t="0" r="3810" b="3810"/>
                  <wp:docPr id="18" name="Imagen 18"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Gráfico, Gráfico de líneas&#10;&#10;Descripción generada automáticament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339340" cy="1424940"/>
                          </a:xfrm>
                          <a:prstGeom prst="rect">
                            <a:avLst/>
                          </a:prstGeom>
                          <a:noFill/>
                          <a:ln>
                            <a:noFill/>
                          </a:ln>
                        </pic:spPr>
                      </pic:pic>
                    </a:graphicData>
                  </a:graphic>
                </wp:inline>
              </w:drawing>
            </w:r>
          </w:p>
        </w:tc>
        <w:tc>
          <w:tcPr>
            <w:tcW w:w="4253" w:type="dxa"/>
            <w:tcBorders>
              <w:top w:val="single" w:sz="4" w:space="0" w:color="auto"/>
              <w:left w:val="single" w:sz="4" w:space="0" w:color="auto"/>
              <w:bottom w:val="single" w:sz="4" w:space="0" w:color="auto"/>
              <w:right w:val="single" w:sz="4" w:space="0" w:color="auto"/>
            </w:tcBorders>
            <w:vAlign w:val="center"/>
            <w:hideMark/>
          </w:tcPr>
          <w:p w14:paraId="1A3E8680" w14:textId="77777777" w:rsidR="00E2142E" w:rsidRDefault="00E2142E" w:rsidP="00BE001B">
            <w:pPr>
              <w:jc w:val="center"/>
              <w:rPr>
                <w:noProof/>
                <w:sz w:val="16"/>
                <w:szCs w:val="16"/>
              </w:rPr>
            </w:pPr>
            <w:r>
              <w:rPr>
                <w:noProof/>
                <w:sz w:val="16"/>
                <w:szCs w:val="16"/>
              </w:rPr>
              <w:drawing>
                <wp:inline distT="0" distB="0" distL="0" distR="0" wp14:anchorId="64A083F8" wp14:editId="7CF39D2D">
                  <wp:extent cx="2339340" cy="1353820"/>
                  <wp:effectExtent l="0" t="0" r="3810" b="0"/>
                  <wp:docPr id="17" name="Imagen 17"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Gráfico, Gráfico de líneas&#10;&#10;Descripción generada automáticament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339340" cy="1353820"/>
                          </a:xfrm>
                          <a:prstGeom prst="rect">
                            <a:avLst/>
                          </a:prstGeom>
                          <a:noFill/>
                          <a:ln>
                            <a:noFill/>
                          </a:ln>
                        </pic:spPr>
                      </pic:pic>
                    </a:graphicData>
                  </a:graphic>
                </wp:inline>
              </w:drawing>
            </w:r>
          </w:p>
        </w:tc>
      </w:tr>
      <w:tr w:rsidR="00E2142E" w14:paraId="1E0AC883" w14:textId="77777777" w:rsidTr="00BE001B">
        <w:trPr>
          <w:trHeight w:val="227"/>
        </w:trPr>
        <w:tc>
          <w:tcPr>
            <w:tcW w:w="8504" w:type="dxa"/>
            <w:gridSpan w:val="2"/>
            <w:tcBorders>
              <w:top w:val="single" w:sz="4" w:space="0" w:color="auto"/>
              <w:left w:val="single" w:sz="4" w:space="0" w:color="auto"/>
              <w:bottom w:val="single" w:sz="4" w:space="0" w:color="auto"/>
              <w:right w:val="single" w:sz="4" w:space="0" w:color="auto"/>
            </w:tcBorders>
            <w:vAlign w:val="center"/>
            <w:hideMark/>
          </w:tcPr>
          <w:p w14:paraId="71D89CF8" w14:textId="77777777" w:rsidR="00E2142E" w:rsidRDefault="00E2142E" w:rsidP="00BE001B">
            <w:pPr>
              <w:jc w:val="center"/>
              <w:rPr>
                <w:b/>
                <w:bCs/>
                <w:noProof/>
                <w:sz w:val="16"/>
                <w:szCs w:val="16"/>
              </w:rPr>
            </w:pPr>
            <w:r>
              <w:rPr>
                <w:b/>
                <w:bCs/>
                <w:noProof/>
                <w:sz w:val="16"/>
                <w:szCs w:val="16"/>
              </w:rPr>
              <w:t>Panama</w:t>
            </w:r>
          </w:p>
        </w:tc>
      </w:tr>
      <w:tr w:rsidR="00E2142E" w14:paraId="23DF8FAB" w14:textId="77777777" w:rsidTr="00BE001B">
        <w:trPr>
          <w:trHeight w:val="2268"/>
        </w:trPr>
        <w:tc>
          <w:tcPr>
            <w:tcW w:w="4251" w:type="dxa"/>
            <w:tcBorders>
              <w:top w:val="single" w:sz="4" w:space="0" w:color="auto"/>
              <w:left w:val="single" w:sz="4" w:space="0" w:color="auto"/>
              <w:bottom w:val="single" w:sz="4" w:space="0" w:color="auto"/>
              <w:right w:val="single" w:sz="4" w:space="0" w:color="auto"/>
            </w:tcBorders>
            <w:vAlign w:val="center"/>
            <w:hideMark/>
          </w:tcPr>
          <w:p w14:paraId="1EBB0B28" w14:textId="77777777" w:rsidR="00E2142E" w:rsidRDefault="00E2142E" w:rsidP="00BE001B">
            <w:pPr>
              <w:jc w:val="center"/>
              <w:rPr>
                <w:noProof/>
                <w:sz w:val="16"/>
                <w:szCs w:val="16"/>
              </w:rPr>
            </w:pPr>
            <w:r>
              <w:rPr>
                <w:noProof/>
                <w:sz w:val="16"/>
                <w:szCs w:val="16"/>
              </w:rPr>
              <w:drawing>
                <wp:inline distT="0" distB="0" distL="0" distR="0" wp14:anchorId="28E1D09E" wp14:editId="7A0D0E3E">
                  <wp:extent cx="2339340" cy="1187450"/>
                  <wp:effectExtent l="0" t="0" r="3810" b="0"/>
                  <wp:docPr id="16" name="Imagen 16"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Gráfico, Gráfico de líneas&#10;&#10;Descripción generada automáticament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339340" cy="1187450"/>
                          </a:xfrm>
                          <a:prstGeom prst="rect">
                            <a:avLst/>
                          </a:prstGeom>
                          <a:noFill/>
                          <a:ln>
                            <a:noFill/>
                          </a:ln>
                        </pic:spPr>
                      </pic:pic>
                    </a:graphicData>
                  </a:graphic>
                </wp:inline>
              </w:drawing>
            </w:r>
          </w:p>
        </w:tc>
        <w:tc>
          <w:tcPr>
            <w:tcW w:w="4253" w:type="dxa"/>
            <w:tcBorders>
              <w:top w:val="single" w:sz="4" w:space="0" w:color="auto"/>
              <w:left w:val="single" w:sz="4" w:space="0" w:color="auto"/>
              <w:bottom w:val="single" w:sz="4" w:space="0" w:color="auto"/>
              <w:right w:val="single" w:sz="4" w:space="0" w:color="auto"/>
            </w:tcBorders>
            <w:vAlign w:val="center"/>
            <w:hideMark/>
          </w:tcPr>
          <w:p w14:paraId="08A7AE8A" w14:textId="77777777" w:rsidR="00E2142E" w:rsidRDefault="00E2142E" w:rsidP="00BE001B">
            <w:pPr>
              <w:jc w:val="center"/>
              <w:rPr>
                <w:noProof/>
                <w:sz w:val="16"/>
                <w:szCs w:val="16"/>
              </w:rPr>
            </w:pPr>
            <w:r>
              <w:rPr>
                <w:noProof/>
                <w:sz w:val="16"/>
                <w:szCs w:val="16"/>
              </w:rPr>
              <w:drawing>
                <wp:inline distT="0" distB="0" distL="0" distR="0" wp14:anchorId="61E86059" wp14:editId="2AC5320A">
                  <wp:extent cx="2339340" cy="1187450"/>
                  <wp:effectExtent l="0" t="0" r="3810" b="0"/>
                  <wp:docPr id="15" name="Imagen 15"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Gráfico, Gráfico de líneas&#10;&#10;Descripción generada automáticament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339340" cy="1187450"/>
                          </a:xfrm>
                          <a:prstGeom prst="rect">
                            <a:avLst/>
                          </a:prstGeom>
                          <a:noFill/>
                          <a:ln>
                            <a:noFill/>
                          </a:ln>
                        </pic:spPr>
                      </pic:pic>
                    </a:graphicData>
                  </a:graphic>
                </wp:inline>
              </w:drawing>
            </w:r>
          </w:p>
        </w:tc>
      </w:tr>
    </w:tbl>
    <w:p w14:paraId="52975B0D" w14:textId="77777777" w:rsidR="00E2142E" w:rsidRDefault="00E2142E" w:rsidP="00E2142E">
      <w:pPr>
        <w:rPr>
          <w:b/>
          <w:bCs/>
        </w:rPr>
      </w:pPr>
    </w:p>
    <w:p w14:paraId="4252CBE1" w14:textId="7AD79350" w:rsidR="00E2142E" w:rsidRDefault="00E2142E" w:rsidP="00E2142E">
      <w:pPr>
        <w:pStyle w:val="Ttulo2"/>
      </w:pPr>
      <w:bookmarkStart w:id="36" w:name="_Toc90453980"/>
      <w:r>
        <w:t>An</w:t>
      </w:r>
      <w:r w:rsidR="00CE618E">
        <w:t>n</w:t>
      </w:r>
      <w:r>
        <w:t>ex 2</w:t>
      </w:r>
      <w:r w:rsidR="00526190">
        <w:t xml:space="preserve">. </w:t>
      </w:r>
      <w:r w:rsidR="00CE618E">
        <w:t xml:space="preserve">List of </w:t>
      </w:r>
      <w:r w:rsidR="00526190" w:rsidRPr="00526190">
        <w:t>stakeholders interviewed</w:t>
      </w:r>
      <w:bookmarkEnd w:id="36"/>
    </w:p>
    <w:tbl>
      <w:tblPr>
        <w:tblStyle w:val="Tablaconcuadrcula"/>
        <w:tblW w:w="0" w:type="auto"/>
        <w:tblLook w:val="04A0" w:firstRow="1" w:lastRow="0" w:firstColumn="1" w:lastColumn="0" w:noHBand="0" w:noVBand="1"/>
      </w:tblPr>
      <w:tblGrid>
        <w:gridCol w:w="1661"/>
        <w:gridCol w:w="1685"/>
        <w:gridCol w:w="5152"/>
      </w:tblGrid>
      <w:tr w:rsidR="00E2142E" w:rsidRPr="00E2142E" w14:paraId="2E61097A" w14:textId="77777777" w:rsidTr="00BE001B">
        <w:tc>
          <w:tcPr>
            <w:tcW w:w="1661" w:type="dxa"/>
          </w:tcPr>
          <w:p w14:paraId="7D6448DB" w14:textId="77777777" w:rsidR="00E2142E" w:rsidRPr="00E2142E" w:rsidRDefault="00E2142E" w:rsidP="00BE001B">
            <w:pPr>
              <w:jc w:val="center"/>
              <w:rPr>
                <w:b/>
                <w:bCs/>
                <w:sz w:val="18"/>
                <w:szCs w:val="18"/>
              </w:rPr>
            </w:pPr>
            <w:r w:rsidRPr="00E2142E">
              <w:rPr>
                <w:b/>
                <w:bCs/>
                <w:sz w:val="18"/>
                <w:szCs w:val="18"/>
                <w:lang w:val="en"/>
              </w:rPr>
              <w:t>Name</w:t>
            </w:r>
          </w:p>
        </w:tc>
        <w:tc>
          <w:tcPr>
            <w:tcW w:w="1685" w:type="dxa"/>
          </w:tcPr>
          <w:p w14:paraId="0B4BFCC3" w14:textId="77777777" w:rsidR="00E2142E" w:rsidRPr="00E2142E" w:rsidRDefault="00E2142E" w:rsidP="00BE001B">
            <w:pPr>
              <w:jc w:val="center"/>
              <w:rPr>
                <w:b/>
                <w:bCs/>
                <w:sz w:val="18"/>
                <w:szCs w:val="18"/>
              </w:rPr>
            </w:pPr>
            <w:r w:rsidRPr="00E2142E">
              <w:rPr>
                <w:b/>
                <w:bCs/>
                <w:sz w:val="18"/>
                <w:szCs w:val="18"/>
                <w:lang w:val="en"/>
              </w:rPr>
              <w:t>Organization</w:t>
            </w:r>
          </w:p>
        </w:tc>
        <w:tc>
          <w:tcPr>
            <w:tcW w:w="5152" w:type="dxa"/>
          </w:tcPr>
          <w:p w14:paraId="7D2C7A69" w14:textId="77777777" w:rsidR="00E2142E" w:rsidRPr="00E2142E" w:rsidRDefault="00E2142E" w:rsidP="00BE001B">
            <w:pPr>
              <w:jc w:val="center"/>
              <w:rPr>
                <w:b/>
                <w:bCs/>
                <w:sz w:val="18"/>
                <w:szCs w:val="18"/>
              </w:rPr>
            </w:pPr>
            <w:r w:rsidRPr="00E2142E">
              <w:rPr>
                <w:b/>
                <w:bCs/>
                <w:sz w:val="18"/>
                <w:szCs w:val="18"/>
                <w:lang w:val="en"/>
              </w:rPr>
              <w:t>Sector</w:t>
            </w:r>
          </w:p>
        </w:tc>
      </w:tr>
      <w:tr w:rsidR="00E2142E" w:rsidRPr="00E2142E" w14:paraId="31B8C5C8" w14:textId="77777777" w:rsidTr="00BE001B">
        <w:tc>
          <w:tcPr>
            <w:tcW w:w="1661" w:type="dxa"/>
          </w:tcPr>
          <w:p w14:paraId="5BB5668F" w14:textId="77777777" w:rsidR="00E2142E" w:rsidRPr="00CE618E" w:rsidRDefault="00E2142E" w:rsidP="00C92A29">
            <w:pPr>
              <w:jc w:val="left"/>
              <w:rPr>
                <w:sz w:val="16"/>
                <w:szCs w:val="16"/>
              </w:rPr>
            </w:pPr>
            <w:r w:rsidRPr="00CE618E">
              <w:rPr>
                <w:sz w:val="16"/>
                <w:szCs w:val="16"/>
                <w:lang w:val="en"/>
              </w:rPr>
              <w:t>Jorge Dengo</w:t>
            </w:r>
          </w:p>
        </w:tc>
        <w:tc>
          <w:tcPr>
            <w:tcW w:w="1685" w:type="dxa"/>
          </w:tcPr>
          <w:p w14:paraId="592C629A" w14:textId="04CCCFD8" w:rsidR="00E2142E" w:rsidRPr="00CE618E" w:rsidRDefault="00E2142E" w:rsidP="00C92A29">
            <w:pPr>
              <w:jc w:val="left"/>
              <w:rPr>
                <w:sz w:val="16"/>
                <w:szCs w:val="16"/>
                <w:lang w:val="es-CO"/>
              </w:rPr>
            </w:pPr>
            <w:r w:rsidRPr="00CE618E">
              <w:rPr>
                <w:sz w:val="16"/>
                <w:szCs w:val="16"/>
                <w:lang w:val="es-CO"/>
              </w:rPr>
              <w:t>CELSIA (Honduras, Costa Rica, Panama)</w:t>
            </w:r>
          </w:p>
        </w:tc>
        <w:tc>
          <w:tcPr>
            <w:tcW w:w="5152" w:type="dxa"/>
          </w:tcPr>
          <w:p w14:paraId="16CF81F1" w14:textId="13C960B2" w:rsidR="00E2142E" w:rsidRPr="00CE618E" w:rsidRDefault="00E2142E" w:rsidP="00C92A29">
            <w:pPr>
              <w:jc w:val="left"/>
              <w:rPr>
                <w:sz w:val="16"/>
                <w:szCs w:val="16"/>
              </w:rPr>
            </w:pPr>
            <w:r w:rsidRPr="00CE618E">
              <w:rPr>
                <w:sz w:val="16"/>
                <w:szCs w:val="16"/>
                <w:lang w:val="en"/>
              </w:rPr>
              <w:t>Leader of Regulatory Affairs and Market Development for Central America at Celsia</w:t>
            </w:r>
            <w:r w:rsidR="0016708A" w:rsidRPr="00CE618E">
              <w:rPr>
                <w:sz w:val="16"/>
                <w:szCs w:val="16"/>
                <w:lang w:val="en"/>
              </w:rPr>
              <w:t xml:space="preserve"> </w:t>
            </w:r>
            <w:r w:rsidRPr="00CE618E">
              <w:rPr>
                <w:sz w:val="16"/>
                <w:szCs w:val="16"/>
                <w:lang w:val="en"/>
              </w:rPr>
              <w:t>Energ</w:t>
            </w:r>
            <w:r w:rsidR="00C92A29">
              <w:rPr>
                <w:sz w:val="16"/>
                <w:szCs w:val="16"/>
                <w:lang w:val="en"/>
              </w:rPr>
              <w:t>i</w:t>
            </w:r>
            <w:r w:rsidRPr="00CE618E">
              <w:rPr>
                <w:sz w:val="16"/>
                <w:szCs w:val="16"/>
                <w:lang w:val="en"/>
              </w:rPr>
              <w:t>a. Celsia is a</w:t>
            </w:r>
            <w:r w:rsidR="0016708A" w:rsidRPr="00CE618E">
              <w:rPr>
                <w:sz w:val="16"/>
                <w:szCs w:val="16"/>
                <w:lang w:val="en"/>
              </w:rPr>
              <w:t xml:space="preserve"> </w:t>
            </w:r>
            <w:r w:rsidRPr="00CE618E">
              <w:rPr>
                <w:sz w:val="16"/>
                <w:szCs w:val="16"/>
                <w:lang w:val="en"/>
              </w:rPr>
              <w:t>Colombian</w:t>
            </w:r>
            <w:r w:rsidR="0016708A" w:rsidRPr="00CE618E">
              <w:rPr>
                <w:sz w:val="16"/>
                <w:szCs w:val="16"/>
                <w:lang w:val="en"/>
              </w:rPr>
              <w:t xml:space="preserve"> </w:t>
            </w:r>
            <w:r w:rsidRPr="00CE618E">
              <w:rPr>
                <w:sz w:val="16"/>
                <w:szCs w:val="16"/>
                <w:lang w:val="en"/>
              </w:rPr>
              <w:t>company, one of the largest developers and operator</w:t>
            </w:r>
            <w:r w:rsidR="008C3FB7">
              <w:rPr>
                <w:sz w:val="16"/>
                <w:szCs w:val="16"/>
                <w:lang w:val="en"/>
              </w:rPr>
              <w:t>s</w:t>
            </w:r>
            <w:r w:rsidR="00C92A29">
              <w:rPr>
                <w:sz w:val="16"/>
                <w:szCs w:val="16"/>
                <w:lang w:val="en"/>
              </w:rPr>
              <w:t xml:space="preserve"> </w:t>
            </w:r>
            <w:r w:rsidRPr="00CE618E">
              <w:rPr>
                <w:sz w:val="16"/>
                <w:szCs w:val="16"/>
                <w:lang w:val="en"/>
              </w:rPr>
              <w:t>of generation plants, distribution networks and distributed generation in Central</w:t>
            </w:r>
            <w:r w:rsidR="0016708A" w:rsidRPr="00CE618E">
              <w:rPr>
                <w:sz w:val="16"/>
                <w:szCs w:val="16"/>
                <w:lang w:val="en"/>
              </w:rPr>
              <w:t xml:space="preserve"> </w:t>
            </w:r>
            <w:r w:rsidRPr="00CE618E">
              <w:rPr>
                <w:sz w:val="16"/>
                <w:szCs w:val="16"/>
                <w:lang w:val="en"/>
              </w:rPr>
              <w:t>America.</w:t>
            </w:r>
          </w:p>
        </w:tc>
      </w:tr>
      <w:tr w:rsidR="00E2142E" w:rsidRPr="00E2142E" w14:paraId="27A9E363" w14:textId="77777777" w:rsidTr="00BE001B">
        <w:tc>
          <w:tcPr>
            <w:tcW w:w="1661" w:type="dxa"/>
          </w:tcPr>
          <w:p w14:paraId="18884B39" w14:textId="77777777" w:rsidR="00E2142E" w:rsidRPr="00CE618E" w:rsidRDefault="00E2142E" w:rsidP="00C92A29">
            <w:pPr>
              <w:jc w:val="left"/>
              <w:rPr>
                <w:sz w:val="16"/>
                <w:szCs w:val="16"/>
              </w:rPr>
            </w:pPr>
            <w:r w:rsidRPr="00CE618E">
              <w:rPr>
                <w:sz w:val="16"/>
                <w:szCs w:val="16"/>
                <w:lang w:val="en"/>
              </w:rPr>
              <w:t>Mario Cerna and Shirley Hernandez</w:t>
            </w:r>
          </w:p>
        </w:tc>
        <w:tc>
          <w:tcPr>
            <w:tcW w:w="1685" w:type="dxa"/>
          </w:tcPr>
          <w:p w14:paraId="3FBA7AB6" w14:textId="77777777" w:rsidR="00E2142E" w:rsidRPr="00CE618E" w:rsidRDefault="00E2142E" w:rsidP="00C92A29">
            <w:pPr>
              <w:jc w:val="left"/>
              <w:rPr>
                <w:sz w:val="16"/>
                <w:szCs w:val="16"/>
              </w:rPr>
            </w:pPr>
            <w:r w:rsidRPr="00CE618E">
              <w:rPr>
                <w:sz w:val="16"/>
                <w:szCs w:val="16"/>
                <w:lang w:val="en"/>
              </w:rPr>
              <w:t>CABEI (regional)</w:t>
            </w:r>
          </w:p>
        </w:tc>
        <w:tc>
          <w:tcPr>
            <w:tcW w:w="5152" w:type="dxa"/>
          </w:tcPr>
          <w:p w14:paraId="70026A03" w14:textId="337763F1" w:rsidR="00E2142E" w:rsidRPr="00CE618E" w:rsidRDefault="00E2142E" w:rsidP="00C92A29">
            <w:pPr>
              <w:jc w:val="left"/>
              <w:rPr>
                <w:sz w:val="16"/>
                <w:szCs w:val="16"/>
              </w:rPr>
            </w:pPr>
            <w:r w:rsidRPr="00CE618E">
              <w:rPr>
                <w:sz w:val="16"/>
                <w:szCs w:val="16"/>
                <w:lang w:val="en"/>
              </w:rPr>
              <w:t>Business Structuring Executive and Energy Specialist; Portfolio Management Executive.  CABEI (Central American Bank for Economic Integration) is the development bank of the region, and one of the main players in the financial market for renewable energies. It makes direct investments, technical assistance, and lines of credit for commercial banks in the region.</w:t>
            </w:r>
          </w:p>
        </w:tc>
      </w:tr>
      <w:tr w:rsidR="00E2142E" w:rsidRPr="00E2142E" w14:paraId="0A7DACD1" w14:textId="77777777" w:rsidTr="00BE001B">
        <w:tc>
          <w:tcPr>
            <w:tcW w:w="1661" w:type="dxa"/>
          </w:tcPr>
          <w:p w14:paraId="3B850ED4" w14:textId="77777777" w:rsidR="00E2142E" w:rsidRPr="00CE618E" w:rsidRDefault="00E2142E" w:rsidP="00C92A29">
            <w:pPr>
              <w:jc w:val="left"/>
              <w:rPr>
                <w:sz w:val="16"/>
                <w:szCs w:val="16"/>
              </w:rPr>
            </w:pPr>
            <w:r w:rsidRPr="00CE618E">
              <w:rPr>
                <w:sz w:val="16"/>
                <w:szCs w:val="16"/>
                <w:lang w:val="en"/>
              </w:rPr>
              <w:t>Mario Caceres</w:t>
            </w:r>
          </w:p>
        </w:tc>
        <w:tc>
          <w:tcPr>
            <w:tcW w:w="1685" w:type="dxa"/>
          </w:tcPr>
          <w:p w14:paraId="7A96A7E4" w14:textId="77777777" w:rsidR="00E2142E" w:rsidRPr="00CE618E" w:rsidRDefault="00E2142E" w:rsidP="00C92A29">
            <w:pPr>
              <w:jc w:val="left"/>
              <w:rPr>
                <w:sz w:val="16"/>
                <w:szCs w:val="16"/>
                <w:lang w:val="es-CO"/>
              </w:rPr>
            </w:pPr>
            <w:r w:rsidRPr="00CE618E">
              <w:rPr>
                <w:sz w:val="16"/>
                <w:szCs w:val="16"/>
                <w:lang w:val="es-CO"/>
              </w:rPr>
              <w:t>National Energy Council (CNE), El Salvador</w:t>
            </w:r>
          </w:p>
        </w:tc>
        <w:tc>
          <w:tcPr>
            <w:tcW w:w="5152" w:type="dxa"/>
          </w:tcPr>
          <w:p w14:paraId="00B3BD9C" w14:textId="77777777" w:rsidR="00E2142E" w:rsidRPr="00CE618E" w:rsidRDefault="00E2142E" w:rsidP="00C92A29">
            <w:pPr>
              <w:jc w:val="left"/>
              <w:rPr>
                <w:sz w:val="16"/>
                <w:szCs w:val="16"/>
              </w:rPr>
            </w:pPr>
            <w:r w:rsidRPr="00CE618E">
              <w:rPr>
                <w:sz w:val="16"/>
                <w:szCs w:val="16"/>
                <w:lang w:val="en"/>
              </w:rPr>
              <w:t>Director of Energy Efficiency. The CNE is an important actor within the structure of the Salvadoran energy sector, in matters of renewable energies and energy efficiency.</w:t>
            </w:r>
          </w:p>
        </w:tc>
      </w:tr>
      <w:tr w:rsidR="00E2142E" w:rsidRPr="00E2142E" w14:paraId="0A171C77" w14:textId="77777777" w:rsidTr="00BE001B">
        <w:tc>
          <w:tcPr>
            <w:tcW w:w="1661" w:type="dxa"/>
          </w:tcPr>
          <w:p w14:paraId="125B88AD" w14:textId="77777777" w:rsidR="00E2142E" w:rsidRPr="00CE618E" w:rsidRDefault="00E2142E" w:rsidP="00C92A29">
            <w:pPr>
              <w:jc w:val="left"/>
              <w:rPr>
                <w:sz w:val="16"/>
                <w:szCs w:val="16"/>
              </w:rPr>
            </w:pPr>
            <w:r w:rsidRPr="00CE618E">
              <w:rPr>
                <w:sz w:val="16"/>
                <w:szCs w:val="16"/>
                <w:lang w:val="en"/>
              </w:rPr>
              <w:t>Ricardo Espinoza</w:t>
            </w:r>
          </w:p>
        </w:tc>
        <w:tc>
          <w:tcPr>
            <w:tcW w:w="1685" w:type="dxa"/>
          </w:tcPr>
          <w:p w14:paraId="5C96FD0C" w14:textId="57616CD3" w:rsidR="00E2142E" w:rsidRPr="00CE618E" w:rsidRDefault="00E2142E" w:rsidP="00C92A29">
            <w:pPr>
              <w:jc w:val="left"/>
              <w:rPr>
                <w:sz w:val="16"/>
                <w:szCs w:val="16"/>
              </w:rPr>
            </w:pPr>
            <w:r w:rsidRPr="00CE618E">
              <w:rPr>
                <w:sz w:val="16"/>
                <w:szCs w:val="16"/>
                <w:lang w:val="en"/>
              </w:rPr>
              <w:t xml:space="preserve">Independent Consultant </w:t>
            </w:r>
            <w:r w:rsidR="000B70B8">
              <w:rPr>
                <w:sz w:val="16"/>
                <w:szCs w:val="16"/>
                <w:lang w:val="en"/>
              </w:rPr>
              <w:t xml:space="preserve">and former Regulator of Electricity in Honduras </w:t>
            </w:r>
            <w:r w:rsidRPr="00CE618E">
              <w:rPr>
                <w:sz w:val="16"/>
                <w:szCs w:val="16"/>
                <w:lang w:val="en"/>
              </w:rPr>
              <w:t>(Honduras)</w:t>
            </w:r>
          </w:p>
        </w:tc>
        <w:tc>
          <w:tcPr>
            <w:tcW w:w="5152" w:type="dxa"/>
          </w:tcPr>
          <w:p w14:paraId="27768D4A" w14:textId="1B1DA400" w:rsidR="00E2142E" w:rsidRPr="00CE618E" w:rsidRDefault="00E2142E" w:rsidP="00C92A29">
            <w:pPr>
              <w:jc w:val="left"/>
              <w:rPr>
                <w:sz w:val="16"/>
                <w:szCs w:val="16"/>
              </w:rPr>
            </w:pPr>
            <w:r w:rsidRPr="00CE618E">
              <w:rPr>
                <w:sz w:val="16"/>
                <w:szCs w:val="16"/>
                <w:lang w:val="en"/>
              </w:rPr>
              <w:t xml:space="preserve">Former president of CREE, the Electric Power Regulatory Commission of Honduras. It is responsible for regulating the activities of the agents of the market and institutions </w:t>
            </w:r>
            <w:r w:rsidR="00C92A29">
              <w:rPr>
                <w:sz w:val="16"/>
                <w:szCs w:val="16"/>
                <w:lang w:val="en"/>
              </w:rPr>
              <w:t>in</w:t>
            </w:r>
            <w:r w:rsidRPr="00CE618E">
              <w:rPr>
                <w:sz w:val="16"/>
                <w:szCs w:val="16"/>
                <w:lang w:val="en"/>
              </w:rPr>
              <w:t xml:space="preserve"> the Honduran electricity subsector.</w:t>
            </w:r>
          </w:p>
        </w:tc>
      </w:tr>
      <w:tr w:rsidR="00E2142E" w:rsidRPr="00E2142E" w14:paraId="0571E56D" w14:textId="77777777" w:rsidTr="00BE001B">
        <w:tc>
          <w:tcPr>
            <w:tcW w:w="1661" w:type="dxa"/>
          </w:tcPr>
          <w:p w14:paraId="33ABA6C5" w14:textId="77777777" w:rsidR="00E2142E" w:rsidRPr="00CE618E" w:rsidRDefault="00E2142E" w:rsidP="00C92A29">
            <w:pPr>
              <w:jc w:val="left"/>
              <w:rPr>
                <w:sz w:val="16"/>
                <w:szCs w:val="16"/>
              </w:rPr>
            </w:pPr>
            <w:r w:rsidRPr="00CE618E">
              <w:rPr>
                <w:sz w:val="16"/>
                <w:szCs w:val="16"/>
                <w:lang w:val="en"/>
              </w:rPr>
              <w:t>Gustavo Jimenez</w:t>
            </w:r>
          </w:p>
        </w:tc>
        <w:tc>
          <w:tcPr>
            <w:tcW w:w="1685" w:type="dxa"/>
          </w:tcPr>
          <w:p w14:paraId="5B29AD7B" w14:textId="5B2954D0" w:rsidR="00E2142E" w:rsidRPr="00CE618E" w:rsidRDefault="00E2142E" w:rsidP="00C92A29">
            <w:pPr>
              <w:jc w:val="left"/>
              <w:rPr>
                <w:sz w:val="16"/>
                <w:szCs w:val="16"/>
              </w:rPr>
            </w:pPr>
            <w:r w:rsidRPr="00CE618E">
              <w:rPr>
                <w:sz w:val="16"/>
                <w:szCs w:val="16"/>
                <w:lang w:val="en"/>
              </w:rPr>
              <w:t>Independent consultant (Costa Rica and Nicaragua)</w:t>
            </w:r>
          </w:p>
        </w:tc>
        <w:tc>
          <w:tcPr>
            <w:tcW w:w="5152" w:type="dxa"/>
          </w:tcPr>
          <w:p w14:paraId="68F12052" w14:textId="1C179668" w:rsidR="00E2142E" w:rsidRPr="00CE618E" w:rsidRDefault="00E2142E" w:rsidP="00C92A29">
            <w:pPr>
              <w:jc w:val="left"/>
              <w:rPr>
                <w:sz w:val="16"/>
                <w:szCs w:val="16"/>
              </w:rPr>
            </w:pPr>
            <w:r w:rsidRPr="00CE618E">
              <w:rPr>
                <w:sz w:val="16"/>
                <w:szCs w:val="16"/>
                <w:lang w:val="en"/>
              </w:rPr>
              <w:t>Experience with investors in wind, solar and hydro projects. Experience comparing proposals from European, North American and Asian suppliers for</w:t>
            </w:r>
            <w:r w:rsidR="008C3FB7">
              <w:rPr>
                <w:sz w:val="16"/>
                <w:szCs w:val="16"/>
                <w:lang w:val="en"/>
              </w:rPr>
              <w:t xml:space="preserve"> RE</w:t>
            </w:r>
            <w:r w:rsidRPr="00CE618E">
              <w:rPr>
                <w:sz w:val="16"/>
                <w:szCs w:val="16"/>
                <w:lang w:val="en"/>
              </w:rPr>
              <w:t xml:space="preserve"> projects in Costa Rica and Nicaragua. Experience </w:t>
            </w:r>
            <w:r w:rsidR="008C3FB7">
              <w:rPr>
                <w:sz w:val="16"/>
                <w:szCs w:val="16"/>
                <w:lang w:val="en"/>
              </w:rPr>
              <w:t>providing training on</w:t>
            </w:r>
            <w:r w:rsidRPr="00CE618E">
              <w:rPr>
                <w:sz w:val="16"/>
                <w:szCs w:val="16"/>
                <w:lang w:val="en"/>
              </w:rPr>
              <w:t xml:space="preserve"> </w:t>
            </w:r>
            <w:r w:rsidR="008C3FB7">
              <w:rPr>
                <w:sz w:val="16"/>
                <w:szCs w:val="16"/>
                <w:lang w:val="en"/>
              </w:rPr>
              <w:t>RE</w:t>
            </w:r>
            <w:r w:rsidRPr="00CE618E">
              <w:rPr>
                <w:sz w:val="16"/>
                <w:szCs w:val="16"/>
                <w:lang w:val="en"/>
              </w:rPr>
              <w:t xml:space="preserve"> to companies and financial institutions</w:t>
            </w:r>
            <w:r w:rsidR="008C3FB7">
              <w:rPr>
                <w:sz w:val="16"/>
                <w:szCs w:val="16"/>
                <w:lang w:val="en"/>
              </w:rPr>
              <w:t xml:space="preserve"> in the region</w:t>
            </w:r>
            <w:r w:rsidRPr="00CE618E">
              <w:rPr>
                <w:sz w:val="16"/>
                <w:szCs w:val="16"/>
                <w:lang w:val="en"/>
              </w:rPr>
              <w:t>.</w:t>
            </w:r>
          </w:p>
        </w:tc>
      </w:tr>
      <w:tr w:rsidR="00E2142E" w:rsidRPr="00E2142E" w14:paraId="61E637A1" w14:textId="77777777" w:rsidTr="00BE001B">
        <w:tc>
          <w:tcPr>
            <w:tcW w:w="1661" w:type="dxa"/>
          </w:tcPr>
          <w:p w14:paraId="7D7B2ED5" w14:textId="77777777" w:rsidR="00E2142E" w:rsidRPr="00CE618E" w:rsidRDefault="00E2142E" w:rsidP="00C92A29">
            <w:pPr>
              <w:jc w:val="left"/>
              <w:rPr>
                <w:sz w:val="16"/>
                <w:szCs w:val="16"/>
              </w:rPr>
            </w:pPr>
            <w:r w:rsidRPr="00CE618E">
              <w:rPr>
                <w:sz w:val="16"/>
                <w:szCs w:val="16"/>
                <w:lang w:val="en"/>
              </w:rPr>
              <w:t>Alejandra Arias</w:t>
            </w:r>
          </w:p>
        </w:tc>
        <w:tc>
          <w:tcPr>
            <w:tcW w:w="1685" w:type="dxa"/>
          </w:tcPr>
          <w:p w14:paraId="79C08FF8" w14:textId="77777777" w:rsidR="00E2142E" w:rsidRPr="00CE618E" w:rsidRDefault="00E2142E" w:rsidP="00C92A29">
            <w:pPr>
              <w:jc w:val="left"/>
              <w:rPr>
                <w:sz w:val="16"/>
                <w:szCs w:val="16"/>
              </w:rPr>
            </w:pPr>
            <w:r w:rsidRPr="00CE618E">
              <w:rPr>
                <w:sz w:val="16"/>
                <w:szCs w:val="16"/>
                <w:lang w:val="en"/>
              </w:rPr>
              <w:t>SICREE/SICA</w:t>
            </w:r>
          </w:p>
        </w:tc>
        <w:tc>
          <w:tcPr>
            <w:tcW w:w="5152" w:type="dxa"/>
          </w:tcPr>
          <w:p w14:paraId="6B602131" w14:textId="6A06C904" w:rsidR="00E2142E" w:rsidRPr="00CE618E" w:rsidRDefault="00E2142E" w:rsidP="00C92A29">
            <w:pPr>
              <w:jc w:val="left"/>
              <w:rPr>
                <w:sz w:val="16"/>
                <w:szCs w:val="16"/>
              </w:rPr>
            </w:pPr>
            <w:r w:rsidRPr="00CE618E">
              <w:rPr>
                <w:sz w:val="16"/>
                <w:szCs w:val="16"/>
                <w:lang w:val="en"/>
              </w:rPr>
              <w:t>Expert in Renewable Energy and Energy Efficiency of SICREE (Regional Center for Renewable Energy and Energy Efficiency of the SICA countries) and former offi</w:t>
            </w:r>
            <w:r w:rsidR="008C3FB7">
              <w:rPr>
                <w:sz w:val="16"/>
                <w:szCs w:val="16"/>
                <w:lang w:val="en"/>
              </w:rPr>
              <w:t>cer at</w:t>
            </w:r>
            <w:r w:rsidRPr="00CE618E">
              <w:rPr>
                <w:sz w:val="16"/>
                <w:szCs w:val="16"/>
                <w:lang w:val="en"/>
              </w:rPr>
              <w:t xml:space="preserve"> OLADE. SICA is the most important political body for Central American integration. OLADE is the Latin American Energy Association.</w:t>
            </w:r>
          </w:p>
        </w:tc>
      </w:tr>
      <w:tr w:rsidR="00E2142E" w:rsidRPr="00E2142E" w14:paraId="4F35A312" w14:textId="77777777" w:rsidTr="00BE001B">
        <w:tc>
          <w:tcPr>
            <w:tcW w:w="1661" w:type="dxa"/>
          </w:tcPr>
          <w:p w14:paraId="57F10BCE" w14:textId="77777777" w:rsidR="00E2142E" w:rsidRPr="00CE618E" w:rsidRDefault="00E2142E" w:rsidP="00C92A29">
            <w:pPr>
              <w:jc w:val="left"/>
              <w:rPr>
                <w:sz w:val="16"/>
                <w:szCs w:val="16"/>
              </w:rPr>
            </w:pPr>
            <w:r w:rsidRPr="00CE618E">
              <w:rPr>
                <w:sz w:val="16"/>
                <w:szCs w:val="16"/>
                <w:lang w:val="en"/>
              </w:rPr>
              <w:t>Lorena Rodriguez</w:t>
            </w:r>
          </w:p>
        </w:tc>
        <w:tc>
          <w:tcPr>
            <w:tcW w:w="1685" w:type="dxa"/>
          </w:tcPr>
          <w:p w14:paraId="555EC264" w14:textId="77777777" w:rsidR="00E2142E" w:rsidRPr="00CE618E" w:rsidRDefault="00E2142E" w:rsidP="00C92A29">
            <w:pPr>
              <w:jc w:val="left"/>
              <w:rPr>
                <w:sz w:val="16"/>
                <w:szCs w:val="16"/>
                <w:lang w:val="es-CO"/>
              </w:rPr>
            </w:pPr>
            <w:r w:rsidRPr="00CE618E">
              <w:rPr>
                <w:sz w:val="16"/>
                <w:szCs w:val="16"/>
                <w:lang w:val="es-CO"/>
              </w:rPr>
              <w:t>IFC (Guatemala, El Salvador and Panama)</w:t>
            </w:r>
          </w:p>
        </w:tc>
        <w:tc>
          <w:tcPr>
            <w:tcW w:w="5152" w:type="dxa"/>
          </w:tcPr>
          <w:p w14:paraId="2F544707" w14:textId="5D3AC4B1" w:rsidR="00E2142E" w:rsidRPr="00CE618E" w:rsidRDefault="00E2142E" w:rsidP="00C92A29">
            <w:pPr>
              <w:jc w:val="left"/>
              <w:rPr>
                <w:sz w:val="16"/>
                <w:szCs w:val="16"/>
              </w:rPr>
            </w:pPr>
            <w:r w:rsidRPr="00CE618E">
              <w:rPr>
                <w:sz w:val="16"/>
                <w:szCs w:val="16"/>
                <w:lang w:val="en"/>
              </w:rPr>
              <w:t xml:space="preserve">Country Officer for Guatemala, El Salvador and Panama of the IFC (International Finance Corporation </w:t>
            </w:r>
            <w:r w:rsidR="008C3FB7">
              <w:rPr>
                <w:sz w:val="16"/>
                <w:szCs w:val="16"/>
                <w:lang w:val="en"/>
              </w:rPr>
              <w:t>/</w:t>
            </w:r>
            <w:r w:rsidRPr="00CE618E">
              <w:rPr>
                <w:sz w:val="16"/>
                <w:szCs w:val="16"/>
                <w:lang w:val="en"/>
              </w:rPr>
              <w:t xml:space="preserve"> World</w:t>
            </w:r>
            <w:r w:rsidR="008C3FB7">
              <w:rPr>
                <w:sz w:val="16"/>
                <w:szCs w:val="16"/>
                <w:lang w:val="en"/>
              </w:rPr>
              <w:t xml:space="preserve"> </w:t>
            </w:r>
            <w:r w:rsidRPr="00CE618E">
              <w:rPr>
                <w:sz w:val="16"/>
                <w:szCs w:val="16"/>
                <w:lang w:val="en"/>
              </w:rPr>
              <w:t xml:space="preserve">Bank). This organization has provided financing and technical assistance for </w:t>
            </w:r>
            <w:r w:rsidR="008C3FB7">
              <w:rPr>
                <w:sz w:val="16"/>
                <w:szCs w:val="16"/>
                <w:lang w:val="en"/>
              </w:rPr>
              <w:t>RE</w:t>
            </w:r>
            <w:r w:rsidRPr="00CE618E">
              <w:rPr>
                <w:sz w:val="16"/>
                <w:szCs w:val="16"/>
                <w:lang w:val="en"/>
              </w:rPr>
              <w:t xml:space="preserve"> projects in Central America, both directly and through commercial bank</w:t>
            </w:r>
            <w:r w:rsidR="008C3FB7">
              <w:rPr>
                <w:sz w:val="16"/>
                <w:szCs w:val="16"/>
                <w:lang w:val="en"/>
              </w:rPr>
              <w:t>s</w:t>
            </w:r>
            <w:r w:rsidRPr="00CE618E">
              <w:rPr>
                <w:sz w:val="16"/>
                <w:szCs w:val="16"/>
                <w:lang w:val="en"/>
              </w:rPr>
              <w:t>.</w:t>
            </w:r>
          </w:p>
        </w:tc>
      </w:tr>
      <w:tr w:rsidR="00E2142E" w:rsidRPr="00E2142E" w14:paraId="00C7DE3B" w14:textId="77777777" w:rsidTr="00BE001B">
        <w:tc>
          <w:tcPr>
            <w:tcW w:w="1661" w:type="dxa"/>
          </w:tcPr>
          <w:p w14:paraId="57BDC6F9" w14:textId="77777777" w:rsidR="00E2142E" w:rsidRPr="00CE618E" w:rsidRDefault="00E2142E" w:rsidP="00C92A29">
            <w:pPr>
              <w:jc w:val="left"/>
              <w:rPr>
                <w:sz w:val="16"/>
                <w:szCs w:val="16"/>
              </w:rPr>
            </w:pPr>
            <w:r w:rsidRPr="00CE618E">
              <w:rPr>
                <w:sz w:val="16"/>
                <w:szCs w:val="16"/>
                <w:lang w:val="en"/>
              </w:rPr>
              <w:t>Ramon Candia</w:t>
            </w:r>
          </w:p>
        </w:tc>
        <w:tc>
          <w:tcPr>
            <w:tcW w:w="1685" w:type="dxa"/>
          </w:tcPr>
          <w:p w14:paraId="26872BB4" w14:textId="77777777" w:rsidR="00E2142E" w:rsidRPr="00CE618E" w:rsidRDefault="00E2142E" w:rsidP="00C92A29">
            <w:pPr>
              <w:jc w:val="left"/>
              <w:rPr>
                <w:sz w:val="16"/>
                <w:szCs w:val="16"/>
              </w:rPr>
            </w:pPr>
            <w:r w:rsidRPr="00CE618E">
              <w:rPr>
                <w:sz w:val="16"/>
                <w:szCs w:val="16"/>
                <w:lang w:val="en"/>
              </w:rPr>
              <w:t>CIFI (regional)</w:t>
            </w:r>
          </w:p>
        </w:tc>
        <w:tc>
          <w:tcPr>
            <w:tcW w:w="5152" w:type="dxa"/>
          </w:tcPr>
          <w:p w14:paraId="2AA46BCA" w14:textId="112EDCBC" w:rsidR="00E2142E" w:rsidRPr="00CE618E" w:rsidRDefault="00E2142E" w:rsidP="00C92A29">
            <w:pPr>
              <w:jc w:val="left"/>
              <w:rPr>
                <w:sz w:val="16"/>
                <w:szCs w:val="16"/>
              </w:rPr>
            </w:pPr>
            <w:r w:rsidRPr="00CE618E">
              <w:rPr>
                <w:sz w:val="16"/>
                <w:szCs w:val="16"/>
                <w:lang w:val="en"/>
              </w:rPr>
              <w:t xml:space="preserve">Investment Officer </w:t>
            </w:r>
            <w:r w:rsidR="008C3FB7">
              <w:rPr>
                <w:sz w:val="16"/>
                <w:szCs w:val="16"/>
                <w:lang w:val="en"/>
              </w:rPr>
              <w:t xml:space="preserve">at </w:t>
            </w:r>
            <w:r w:rsidRPr="00CE618E">
              <w:rPr>
                <w:sz w:val="16"/>
                <w:szCs w:val="16"/>
                <w:lang w:val="en"/>
              </w:rPr>
              <w:t>CIFI</w:t>
            </w:r>
            <w:r w:rsidR="008C3FB7">
              <w:rPr>
                <w:sz w:val="16"/>
                <w:szCs w:val="16"/>
                <w:lang w:val="en"/>
              </w:rPr>
              <w:t xml:space="preserve"> </w:t>
            </w:r>
            <w:r w:rsidRPr="00CE618E">
              <w:rPr>
                <w:sz w:val="16"/>
                <w:szCs w:val="16"/>
                <w:lang w:val="en"/>
              </w:rPr>
              <w:t>(Inter-American Corporation for Infrastructure Financing)</w:t>
            </w:r>
            <w:r w:rsidR="008C3FB7">
              <w:rPr>
                <w:sz w:val="16"/>
                <w:szCs w:val="16"/>
                <w:lang w:val="en"/>
              </w:rPr>
              <w:t>. It</w:t>
            </w:r>
            <w:r w:rsidRPr="00CE618E">
              <w:rPr>
                <w:sz w:val="16"/>
                <w:szCs w:val="16"/>
                <w:lang w:val="en"/>
              </w:rPr>
              <w:t xml:space="preserve"> is </w:t>
            </w:r>
            <w:r w:rsidR="008C3FB7" w:rsidRPr="00CE618E">
              <w:rPr>
                <w:sz w:val="16"/>
                <w:szCs w:val="16"/>
                <w:lang w:val="en"/>
              </w:rPr>
              <w:t>a non</w:t>
            </w:r>
            <w:r w:rsidRPr="00CE618E">
              <w:rPr>
                <w:sz w:val="16"/>
                <w:szCs w:val="16"/>
                <w:lang w:val="en"/>
              </w:rPr>
              <w:t>-bank</w:t>
            </w:r>
            <w:r w:rsidR="008C3FB7">
              <w:rPr>
                <w:sz w:val="16"/>
                <w:szCs w:val="16"/>
                <w:lang w:val="en"/>
              </w:rPr>
              <w:t>ing</w:t>
            </w:r>
            <w:r w:rsidRPr="00CE618E">
              <w:rPr>
                <w:sz w:val="16"/>
                <w:szCs w:val="16"/>
                <w:lang w:val="en"/>
              </w:rPr>
              <w:t xml:space="preserve"> financial institution </w:t>
            </w:r>
            <w:r w:rsidR="008C3FB7" w:rsidRPr="00CE618E">
              <w:rPr>
                <w:sz w:val="16"/>
                <w:szCs w:val="16"/>
                <w:lang w:val="en"/>
              </w:rPr>
              <w:t>with extensive</w:t>
            </w:r>
            <w:r w:rsidRPr="00CE618E">
              <w:rPr>
                <w:sz w:val="16"/>
                <w:szCs w:val="16"/>
                <w:lang w:val="en"/>
              </w:rPr>
              <w:t xml:space="preserve"> experience in the financing of infrastructure and renewable energy in</w:t>
            </w:r>
            <w:r w:rsidR="008C3FB7">
              <w:rPr>
                <w:sz w:val="16"/>
                <w:szCs w:val="16"/>
                <w:lang w:val="en"/>
              </w:rPr>
              <w:t xml:space="preserve"> </w:t>
            </w:r>
            <w:r w:rsidRPr="00CE618E">
              <w:rPr>
                <w:sz w:val="16"/>
                <w:szCs w:val="16"/>
                <w:lang w:val="en"/>
              </w:rPr>
              <w:t>Latin America and</w:t>
            </w:r>
            <w:r w:rsidR="008C3FB7">
              <w:rPr>
                <w:sz w:val="16"/>
                <w:szCs w:val="16"/>
                <w:lang w:val="en"/>
              </w:rPr>
              <w:t xml:space="preserve"> </w:t>
            </w:r>
            <w:r w:rsidRPr="00CE618E">
              <w:rPr>
                <w:sz w:val="16"/>
                <w:szCs w:val="16"/>
                <w:lang w:val="en"/>
              </w:rPr>
              <w:t>the</w:t>
            </w:r>
            <w:r w:rsidR="008C3FB7">
              <w:rPr>
                <w:sz w:val="16"/>
                <w:szCs w:val="16"/>
                <w:lang w:val="en"/>
              </w:rPr>
              <w:t xml:space="preserve"> </w:t>
            </w:r>
            <w:r w:rsidRPr="00CE618E">
              <w:rPr>
                <w:sz w:val="16"/>
                <w:szCs w:val="16"/>
                <w:lang w:val="en"/>
              </w:rPr>
              <w:t>Caribbean.</w:t>
            </w:r>
          </w:p>
        </w:tc>
      </w:tr>
      <w:tr w:rsidR="00E2142E" w:rsidRPr="00E2142E" w14:paraId="69F5CBEE" w14:textId="77777777" w:rsidTr="00BE001B">
        <w:tc>
          <w:tcPr>
            <w:tcW w:w="1661" w:type="dxa"/>
          </w:tcPr>
          <w:p w14:paraId="0EA5399B" w14:textId="77777777" w:rsidR="00E2142E" w:rsidRPr="00CE618E" w:rsidRDefault="00E2142E" w:rsidP="00C92A29">
            <w:pPr>
              <w:jc w:val="left"/>
              <w:rPr>
                <w:sz w:val="16"/>
                <w:szCs w:val="16"/>
              </w:rPr>
            </w:pPr>
            <w:r w:rsidRPr="00CE618E">
              <w:rPr>
                <w:sz w:val="16"/>
                <w:szCs w:val="16"/>
                <w:lang w:val="en"/>
              </w:rPr>
              <w:t>Fernando Alvarado</w:t>
            </w:r>
          </w:p>
        </w:tc>
        <w:tc>
          <w:tcPr>
            <w:tcW w:w="1685" w:type="dxa"/>
          </w:tcPr>
          <w:p w14:paraId="739F9D50" w14:textId="66F2F1B0" w:rsidR="00E2142E" w:rsidRPr="00CE618E" w:rsidRDefault="008C3FB7" w:rsidP="00C92A29">
            <w:pPr>
              <w:jc w:val="left"/>
              <w:rPr>
                <w:sz w:val="16"/>
                <w:szCs w:val="16"/>
              </w:rPr>
            </w:pPr>
            <w:r>
              <w:rPr>
                <w:sz w:val="16"/>
                <w:szCs w:val="16"/>
                <w:lang w:val="en"/>
              </w:rPr>
              <w:t>RE and EE Impact Investor</w:t>
            </w:r>
          </w:p>
        </w:tc>
        <w:tc>
          <w:tcPr>
            <w:tcW w:w="5152" w:type="dxa"/>
          </w:tcPr>
          <w:p w14:paraId="4D62FFA2" w14:textId="4A87E7B7" w:rsidR="00E2142E" w:rsidRPr="00CE618E" w:rsidRDefault="00E2142E" w:rsidP="00C92A29">
            <w:pPr>
              <w:jc w:val="left"/>
              <w:rPr>
                <w:sz w:val="16"/>
                <w:szCs w:val="16"/>
              </w:rPr>
            </w:pPr>
            <w:r w:rsidRPr="00CE618E">
              <w:rPr>
                <w:sz w:val="16"/>
                <w:szCs w:val="16"/>
                <w:lang w:val="en"/>
              </w:rPr>
              <w:t>CEO of DISE (Deetken Impact Sustainable Energy), impact capital</w:t>
            </w:r>
            <w:r w:rsidR="00801FC2">
              <w:rPr>
                <w:sz w:val="16"/>
                <w:szCs w:val="16"/>
                <w:lang w:val="en"/>
              </w:rPr>
              <w:t xml:space="preserve"> investor specialized in </w:t>
            </w:r>
            <w:r w:rsidRPr="00CE618E">
              <w:rPr>
                <w:sz w:val="16"/>
                <w:szCs w:val="16"/>
                <w:lang w:val="en"/>
              </w:rPr>
              <w:t>financing of renewable energy and energy efficiency in Central America and the Caribbean.</w:t>
            </w:r>
          </w:p>
        </w:tc>
      </w:tr>
    </w:tbl>
    <w:p w14:paraId="51955FD2" w14:textId="77777777" w:rsidR="00E2142E" w:rsidRDefault="00E2142E" w:rsidP="00E2142E"/>
    <w:p w14:paraId="4371D3CB" w14:textId="0FF31583" w:rsidR="00E2142E" w:rsidRDefault="00E2142E" w:rsidP="00E2142E">
      <w:pPr>
        <w:pStyle w:val="Ttulo2"/>
      </w:pPr>
      <w:bookmarkStart w:id="37" w:name="_Toc90453981"/>
      <w:r>
        <w:t>Annex 3</w:t>
      </w:r>
      <w:r w:rsidR="00526190">
        <w:t>. NDC</w:t>
      </w:r>
      <w:r w:rsidR="002F7368">
        <w:t>’s of Central American countries</w:t>
      </w:r>
      <w:bookmarkEnd w:id="37"/>
      <w:r w:rsidR="00526190">
        <w:t xml:space="preserve"> </w:t>
      </w:r>
    </w:p>
    <w:tbl>
      <w:tblPr>
        <w:tblStyle w:val="Tablaconcuadrcula1"/>
        <w:tblW w:w="9493" w:type="dxa"/>
        <w:tblLook w:val="04A0" w:firstRow="1" w:lastRow="0" w:firstColumn="1" w:lastColumn="0" w:noHBand="0" w:noVBand="1"/>
      </w:tblPr>
      <w:tblGrid>
        <w:gridCol w:w="1405"/>
        <w:gridCol w:w="3410"/>
        <w:gridCol w:w="2551"/>
        <w:gridCol w:w="2127"/>
      </w:tblGrid>
      <w:tr w:rsidR="00E2142E" w:rsidRPr="005A5595" w14:paraId="136F1962" w14:textId="77777777" w:rsidTr="00BE001B">
        <w:trPr>
          <w:trHeight w:val="397"/>
        </w:trPr>
        <w:tc>
          <w:tcPr>
            <w:tcW w:w="1405" w:type="dxa"/>
            <w:shd w:val="clear" w:color="auto" w:fill="4472C4"/>
          </w:tcPr>
          <w:p w14:paraId="4DB28585" w14:textId="77777777" w:rsidR="00E2142E" w:rsidRPr="005A5595" w:rsidRDefault="00E2142E" w:rsidP="00BE001B">
            <w:pPr>
              <w:shd w:val="clear" w:color="auto" w:fill="4472C4"/>
              <w:jc w:val="center"/>
              <w:rPr>
                <w:rFonts w:eastAsia="Calibri" w:cs="Arial"/>
                <w:color w:val="FFFFFF"/>
                <w:sz w:val="18"/>
                <w:szCs w:val="18"/>
                <w:lang w:eastAsia="es-ES_tradnl"/>
              </w:rPr>
            </w:pPr>
            <w:r w:rsidRPr="005A5595">
              <w:rPr>
                <w:rFonts w:eastAsia="Calibri" w:cs="Arial"/>
                <w:color w:val="FFFFFF"/>
                <w:sz w:val="18"/>
                <w:szCs w:val="18"/>
                <w:lang w:eastAsia="es-ES_tradnl"/>
              </w:rPr>
              <w:t>Country</w:t>
            </w:r>
          </w:p>
        </w:tc>
        <w:tc>
          <w:tcPr>
            <w:tcW w:w="3410" w:type="dxa"/>
            <w:shd w:val="clear" w:color="auto" w:fill="4472C4"/>
          </w:tcPr>
          <w:p w14:paraId="54B92778" w14:textId="77777777" w:rsidR="00E2142E" w:rsidRPr="005A5595" w:rsidRDefault="00E2142E" w:rsidP="00BE001B">
            <w:pPr>
              <w:shd w:val="clear" w:color="auto" w:fill="4472C4"/>
              <w:jc w:val="center"/>
              <w:rPr>
                <w:rFonts w:eastAsia="Calibri" w:cs="Arial"/>
                <w:color w:val="FFFFFF"/>
                <w:sz w:val="18"/>
                <w:szCs w:val="18"/>
                <w:lang w:eastAsia="es-ES_tradnl"/>
              </w:rPr>
            </w:pPr>
            <w:r w:rsidRPr="005A5595">
              <w:rPr>
                <w:rFonts w:eastAsia="Calibri" w:cs="Arial"/>
                <w:color w:val="FFFFFF"/>
                <w:sz w:val="18"/>
                <w:szCs w:val="18"/>
                <w:lang w:eastAsia="es-ES_tradnl"/>
              </w:rPr>
              <w:t>Mitigation</w:t>
            </w:r>
          </w:p>
        </w:tc>
        <w:tc>
          <w:tcPr>
            <w:tcW w:w="2551" w:type="dxa"/>
            <w:shd w:val="clear" w:color="auto" w:fill="4472C4"/>
          </w:tcPr>
          <w:p w14:paraId="5E2BF7F7" w14:textId="77777777" w:rsidR="00E2142E" w:rsidRPr="005A5595" w:rsidRDefault="00E2142E" w:rsidP="00BE001B">
            <w:pPr>
              <w:shd w:val="clear" w:color="auto" w:fill="4472C4"/>
              <w:jc w:val="center"/>
              <w:rPr>
                <w:rFonts w:eastAsia="Calibri" w:cs="Arial"/>
                <w:color w:val="FFFFFF"/>
                <w:sz w:val="18"/>
                <w:szCs w:val="18"/>
                <w:lang w:eastAsia="es-ES_tradnl"/>
              </w:rPr>
            </w:pPr>
            <w:r w:rsidRPr="005A5595">
              <w:rPr>
                <w:rFonts w:eastAsia="Calibri" w:cs="Arial"/>
                <w:color w:val="FFFFFF"/>
                <w:sz w:val="18"/>
                <w:szCs w:val="18"/>
                <w:lang w:eastAsia="es-ES_tradnl"/>
              </w:rPr>
              <w:t>Adaptation (sectors)</w:t>
            </w:r>
          </w:p>
        </w:tc>
        <w:tc>
          <w:tcPr>
            <w:tcW w:w="2127" w:type="dxa"/>
            <w:shd w:val="clear" w:color="auto" w:fill="4472C4"/>
          </w:tcPr>
          <w:p w14:paraId="57D4A29C" w14:textId="77777777" w:rsidR="00E2142E" w:rsidRPr="005A5595" w:rsidRDefault="00E2142E" w:rsidP="00BE001B">
            <w:pPr>
              <w:shd w:val="clear" w:color="auto" w:fill="4472C4"/>
              <w:jc w:val="center"/>
              <w:rPr>
                <w:rFonts w:eastAsia="Calibri" w:cs="Arial"/>
                <w:color w:val="FFFFFF"/>
                <w:sz w:val="18"/>
                <w:szCs w:val="18"/>
                <w:lang w:eastAsia="es-ES_tradnl"/>
              </w:rPr>
            </w:pPr>
            <w:r w:rsidRPr="005A5595">
              <w:rPr>
                <w:rFonts w:eastAsia="Calibri" w:cs="Arial"/>
                <w:color w:val="FFFFFF"/>
                <w:sz w:val="18"/>
                <w:szCs w:val="18"/>
                <w:lang w:eastAsia="es-ES_tradnl"/>
              </w:rPr>
              <w:t>RE Targets for 2030</w:t>
            </w:r>
          </w:p>
        </w:tc>
      </w:tr>
      <w:tr w:rsidR="00E2142E" w:rsidRPr="005A5595" w14:paraId="66BDAADF" w14:textId="77777777" w:rsidTr="00BE001B">
        <w:trPr>
          <w:trHeight w:val="232"/>
        </w:trPr>
        <w:tc>
          <w:tcPr>
            <w:tcW w:w="1405" w:type="dxa"/>
          </w:tcPr>
          <w:p w14:paraId="282D8EDB" w14:textId="77777777" w:rsidR="00E2142E" w:rsidRPr="00801FC2" w:rsidRDefault="00E2142E" w:rsidP="00BE001B">
            <w:pPr>
              <w:jc w:val="center"/>
              <w:rPr>
                <w:rFonts w:eastAsia="Calibri" w:cs="Arial"/>
                <w:sz w:val="16"/>
                <w:szCs w:val="16"/>
                <w:lang w:eastAsia="es-ES_tradnl"/>
              </w:rPr>
            </w:pPr>
            <w:r w:rsidRPr="00801FC2">
              <w:rPr>
                <w:rFonts w:eastAsia="Calibri" w:cs="Arial"/>
                <w:sz w:val="16"/>
                <w:szCs w:val="16"/>
                <w:lang w:eastAsia="es-ES_tradnl"/>
              </w:rPr>
              <w:t>Guatemala</w:t>
            </w:r>
          </w:p>
        </w:tc>
        <w:tc>
          <w:tcPr>
            <w:tcW w:w="3410" w:type="dxa"/>
          </w:tcPr>
          <w:p w14:paraId="76CE419F" w14:textId="77777777" w:rsidR="00E2142E" w:rsidRPr="00801FC2" w:rsidRDefault="00E2142E" w:rsidP="00BE00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s="Arial"/>
                <w:b/>
                <w:bCs/>
                <w:sz w:val="16"/>
                <w:szCs w:val="16"/>
              </w:rPr>
            </w:pPr>
            <w:r w:rsidRPr="00801FC2">
              <w:rPr>
                <w:rFonts w:eastAsia="Calibri" w:cs="Arial"/>
                <w:b/>
                <w:bCs/>
                <w:sz w:val="16"/>
                <w:szCs w:val="16"/>
              </w:rPr>
              <w:t>NDC (2016)</w:t>
            </w:r>
          </w:p>
          <w:p w14:paraId="61B85756" w14:textId="77777777" w:rsidR="00E2142E" w:rsidRPr="00801FC2" w:rsidRDefault="00E2142E" w:rsidP="00BE00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s="Arial"/>
                <w:i/>
                <w:iCs/>
                <w:sz w:val="16"/>
                <w:szCs w:val="16"/>
              </w:rPr>
            </w:pPr>
            <w:r w:rsidRPr="00801FC2">
              <w:rPr>
                <w:rFonts w:eastAsia="Calibri" w:cs="Arial"/>
                <w:i/>
                <w:iCs/>
                <w:sz w:val="16"/>
                <w:szCs w:val="16"/>
              </w:rPr>
              <w:t>Unilateral Contribution</w:t>
            </w:r>
          </w:p>
          <w:p w14:paraId="77FB71B4" w14:textId="77777777" w:rsidR="00E2142E" w:rsidRPr="00801FC2" w:rsidRDefault="00E2142E" w:rsidP="00BE00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16"/>
                <w:szCs w:val="16"/>
                <w:lang w:eastAsia="es-MX"/>
              </w:rPr>
            </w:pPr>
            <w:r w:rsidRPr="00801FC2">
              <w:rPr>
                <w:rFonts w:eastAsia="Calibri" w:cs="Arial"/>
                <w:sz w:val="16"/>
                <w:szCs w:val="16"/>
              </w:rPr>
              <w:t>Reduce up to 22.6% of its total GHG emissions from the base year 2005 projected to 2030. This reduction of 22.6% implies that emissions, in a trend scenario (BAU) of 53.85 million tons of CO2 equivalent by 2030.</w:t>
            </w:r>
            <w:r w:rsidRPr="00801FC2">
              <w:rPr>
                <w:rFonts w:eastAsia="Times New Roman" w:cs="Courier New"/>
                <w:color w:val="202124"/>
                <w:sz w:val="16"/>
                <w:szCs w:val="16"/>
                <w:lang w:eastAsia="es-MX"/>
              </w:rPr>
              <w:t xml:space="preserve"> </w:t>
            </w:r>
          </w:p>
        </w:tc>
        <w:tc>
          <w:tcPr>
            <w:tcW w:w="2551" w:type="dxa"/>
          </w:tcPr>
          <w:p w14:paraId="04460313" w14:textId="77777777" w:rsidR="00E2142E" w:rsidRPr="00801FC2" w:rsidRDefault="00E2142E" w:rsidP="00E2142E">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7" w:hanging="357"/>
              <w:rPr>
                <w:rFonts w:eastAsia="Calibri" w:cs="Arial"/>
                <w:sz w:val="16"/>
                <w:szCs w:val="16"/>
              </w:rPr>
            </w:pPr>
            <w:r w:rsidRPr="00801FC2">
              <w:rPr>
                <w:rFonts w:eastAsia="Calibri" w:cs="Arial"/>
                <w:sz w:val="16"/>
                <w:szCs w:val="16"/>
              </w:rPr>
              <w:t>Human health</w:t>
            </w:r>
          </w:p>
          <w:p w14:paraId="0CF0ACF9" w14:textId="77777777" w:rsidR="00E2142E" w:rsidRPr="00801FC2" w:rsidRDefault="00E2142E" w:rsidP="00E2142E">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7" w:hanging="357"/>
              <w:rPr>
                <w:rFonts w:eastAsia="Calibri" w:cs="Arial"/>
                <w:sz w:val="16"/>
                <w:szCs w:val="16"/>
              </w:rPr>
            </w:pPr>
            <w:r w:rsidRPr="00801FC2">
              <w:rPr>
                <w:rFonts w:eastAsia="Calibri" w:cs="Arial"/>
                <w:sz w:val="16"/>
                <w:szCs w:val="16"/>
              </w:rPr>
              <w:t>Coastal marine areas</w:t>
            </w:r>
          </w:p>
          <w:p w14:paraId="0828815C" w14:textId="77777777" w:rsidR="00E2142E" w:rsidRPr="00801FC2" w:rsidRDefault="00E2142E" w:rsidP="00E2142E">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7" w:hanging="357"/>
              <w:rPr>
                <w:rFonts w:eastAsia="Calibri" w:cs="Arial"/>
                <w:sz w:val="16"/>
                <w:szCs w:val="16"/>
              </w:rPr>
            </w:pPr>
            <w:r w:rsidRPr="00801FC2">
              <w:rPr>
                <w:rFonts w:eastAsia="Calibri" w:cs="Arial"/>
                <w:sz w:val="16"/>
                <w:szCs w:val="16"/>
              </w:rPr>
              <w:t>Agriculture, livestock, and food security</w:t>
            </w:r>
          </w:p>
          <w:p w14:paraId="14F7630B" w14:textId="77777777" w:rsidR="00E2142E" w:rsidRPr="00801FC2" w:rsidRDefault="00E2142E" w:rsidP="00E2142E">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7" w:hanging="357"/>
              <w:rPr>
                <w:rFonts w:eastAsia="Calibri" w:cs="Arial"/>
                <w:sz w:val="16"/>
                <w:szCs w:val="16"/>
              </w:rPr>
            </w:pPr>
            <w:r w:rsidRPr="00801FC2">
              <w:rPr>
                <w:rFonts w:eastAsia="Calibri" w:cs="Arial"/>
                <w:sz w:val="16"/>
                <w:szCs w:val="16"/>
              </w:rPr>
              <w:t>Forest resources, protected areas</w:t>
            </w:r>
          </w:p>
          <w:p w14:paraId="719F4E72" w14:textId="77777777" w:rsidR="00E2142E" w:rsidRPr="00801FC2" w:rsidRDefault="00E2142E" w:rsidP="00E2142E">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7" w:hanging="357"/>
              <w:rPr>
                <w:rFonts w:eastAsia="Calibri" w:cs="Arial"/>
                <w:sz w:val="16"/>
                <w:szCs w:val="16"/>
              </w:rPr>
            </w:pPr>
            <w:r w:rsidRPr="00801FC2">
              <w:rPr>
                <w:rFonts w:eastAsia="Calibri" w:cs="Arial"/>
                <w:sz w:val="16"/>
                <w:szCs w:val="16"/>
              </w:rPr>
              <w:t>Conservation and management of strategic ecosystems</w:t>
            </w:r>
          </w:p>
          <w:p w14:paraId="07916720" w14:textId="77777777" w:rsidR="00E2142E" w:rsidRPr="00801FC2" w:rsidRDefault="00E2142E" w:rsidP="00E2142E">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7" w:hanging="357"/>
              <w:rPr>
                <w:rFonts w:eastAsia="Calibri" w:cs="Arial"/>
                <w:sz w:val="16"/>
                <w:szCs w:val="16"/>
              </w:rPr>
            </w:pPr>
            <w:r w:rsidRPr="00801FC2">
              <w:rPr>
                <w:rFonts w:eastAsia="Calibri" w:cs="Arial"/>
                <w:sz w:val="16"/>
                <w:szCs w:val="16"/>
              </w:rPr>
              <w:t>Infrastructure</w:t>
            </w:r>
          </w:p>
          <w:p w14:paraId="702DE5E7" w14:textId="77777777" w:rsidR="00E2142E" w:rsidRPr="00801FC2" w:rsidRDefault="00E2142E" w:rsidP="00E2142E">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7" w:hanging="357"/>
              <w:rPr>
                <w:rFonts w:eastAsia="Calibri" w:cs="Arial"/>
                <w:sz w:val="16"/>
                <w:szCs w:val="16"/>
              </w:rPr>
            </w:pPr>
            <w:r w:rsidRPr="00801FC2">
              <w:rPr>
                <w:rFonts w:eastAsia="Calibri" w:cs="Arial"/>
                <w:sz w:val="16"/>
                <w:szCs w:val="16"/>
              </w:rPr>
              <w:t>Integrated management of water resources</w:t>
            </w:r>
          </w:p>
          <w:p w14:paraId="2BD9C05C" w14:textId="77777777" w:rsidR="00E2142E" w:rsidRPr="00801FC2" w:rsidRDefault="00E2142E" w:rsidP="00E2142E">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7" w:hanging="357"/>
              <w:rPr>
                <w:rFonts w:eastAsia="Calibri" w:cs="Arial"/>
                <w:sz w:val="16"/>
                <w:szCs w:val="16"/>
              </w:rPr>
            </w:pPr>
            <w:r w:rsidRPr="00801FC2">
              <w:rPr>
                <w:rFonts w:eastAsia="Calibri" w:cs="Arial"/>
                <w:sz w:val="16"/>
                <w:szCs w:val="16"/>
              </w:rPr>
              <w:t>Quality of the productive infrastructure</w:t>
            </w:r>
          </w:p>
          <w:p w14:paraId="5BB5638F" w14:textId="77777777" w:rsidR="00E2142E" w:rsidRPr="00801FC2" w:rsidRDefault="00E2142E" w:rsidP="00E2142E">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7" w:hanging="357"/>
              <w:rPr>
                <w:rFonts w:eastAsia="Calibri" w:cs="Arial"/>
                <w:sz w:val="16"/>
                <w:szCs w:val="16"/>
              </w:rPr>
            </w:pPr>
            <w:r w:rsidRPr="00801FC2">
              <w:rPr>
                <w:rFonts w:eastAsia="Calibri" w:cs="Arial"/>
                <w:sz w:val="16"/>
                <w:szCs w:val="16"/>
              </w:rPr>
              <w:t>Soil protection</w:t>
            </w:r>
          </w:p>
          <w:p w14:paraId="58B9527E" w14:textId="77777777" w:rsidR="00E2142E" w:rsidRPr="00801FC2" w:rsidRDefault="00E2142E" w:rsidP="00E2142E">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7" w:hanging="357"/>
              <w:rPr>
                <w:rFonts w:eastAsia="Calibri" w:cs="Arial"/>
                <w:sz w:val="16"/>
                <w:szCs w:val="16"/>
              </w:rPr>
            </w:pPr>
            <w:r w:rsidRPr="00801FC2">
              <w:rPr>
                <w:rFonts w:eastAsia="Calibri" w:cs="Arial"/>
                <w:sz w:val="16"/>
                <w:szCs w:val="16"/>
              </w:rPr>
              <w:t>Comprehensive Disaster Risk Reduction Management.</w:t>
            </w:r>
          </w:p>
        </w:tc>
        <w:tc>
          <w:tcPr>
            <w:tcW w:w="2127" w:type="dxa"/>
          </w:tcPr>
          <w:p w14:paraId="589E9B0A" w14:textId="77777777" w:rsidR="00E2142E" w:rsidRPr="00801FC2" w:rsidRDefault="00E2142E" w:rsidP="00BE00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Calibri" w:cs="Arial"/>
                <w:sz w:val="16"/>
                <w:szCs w:val="16"/>
              </w:rPr>
            </w:pPr>
            <w:r w:rsidRPr="00801FC2">
              <w:rPr>
                <w:rFonts w:eastAsia="Calibri" w:cs="Arial"/>
                <w:sz w:val="16"/>
                <w:szCs w:val="16"/>
              </w:rPr>
              <w:t>Achieve 80% of electricity generation (2030) with renewable energies</w:t>
            </w:r>
          </w:p>
          <w:p w14:paraId="57AEC4B8" w14:textId="77777777" w:rsidR="00E2142E" w:rsidRPr="00801FC2" w:rsidRDefault="00E2142E" w:rsidP="00BE00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7"/>
              <w:rPr>
                <w:rFonts w:eastAsia="Calibri" w:cs="Arial"/>
                <w:sz w:val="16"/>
                <w:szCs w:val="16"/>
              </w:rPr>
            </w:pPr>
          </w:p>
        </w:tc>
      </w:tr>
      <w:tr w:rsidR="00E2142E" w:rsidRPr="005A5595" w14:paraId="578CBD74" w14:textId="77777777" w:rsidTr="00BE001B">
        <w:trPr>
          <w:trHeight w:val="215"/>
        </w:trPr>
        <w:tc>
          <w:tcPr>
            <w:tcW w:w="1405" w:type="dxa"/>
          </w:tcPr>
          <w:p w14:paraId="155119A9" w14:textId="77777777" w:rsidR="00E2142E" w:rsidRPr="00801FC2" w:rsidRDefault="00E2142E" w:rsidP="00BE001B">
            <w:pPr>
              <w:jc w:val="center"/>
              <w:rPr>
                <w:rFonts w:eastAsia="Calibri" w:cs="Arial"/>
                <w:sz w:val="16"/>
                <w:szCs w:val="16"/>
                <w:lang w:eastAsia="es-ES_tradnl"/>
              </w:rPr>
            </w:pPr>
            <w:r w:rsidRPr="00801FC2">
              <w:rPr>
                <w:rFonts w:eastAsia="Calibri" w:cs="Arial"/>
                <w:sz w:val="16"/>
                <w:szCs w:val="16"/>
                <w:lang w:eastAsia="es-ES_tradnl"/>
              </w:rPr>
              <w:t>Honduras</w:t>
            </w:r>
          </w:p>
        </w:tc>
        <w:tc>
          <w:tcPr>
            <w:tcW w:w="3410" w:type="dxa"/>
          </w:tcPr>
          <w:p w14:paraId="63522A68" w14:textId="77777777" w:rsidR="00E2142E" w:rsidRPr="00801FC2" w:rsidRDefault="00E2142E" w:rsidP="00BE00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s="Arial"/>
                <w:b/>
                <w:bCs/>
                <w:sz w:val="16"/>
                <w:szCs w:val="16"/>
              </w:rPr>
            </w:pPr>
            <w:r w:rsidRPr="00801FC2">
              <w:rPr>
                <w:rFonts w:eastAsia="Calibri" w:cs="Arial"/>
                <w:b/>
                <w:bCs/>
                <w:sz w:val="16"/>
                <w:szCs w:val="16"/>
              </w:rPr>
              <w:t>NDC (2016)</w:t>
            </w:r>
          </w:p>
          <w:p w14:paraId="6231B298" w14:textId="77777777" w:rsidR="00E2142E" w:rsidRPr="00801FC2" w:rsidRDefault="00E2142E" w:rsidP="00BE00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s="Arial"/>
                <w:sz w:val="16"/>
                <w:szCs w:val="16"/>
              </w:rPr>
            </w:pPr>
            <w:r w:rsidRPr="00801FC2">
              <w:rPr>
                <w:rFonts w:eastAsia="Calibri" w:cs="Arial"/>
                <w:sz w:val="16"/>
                <w:szCs w:val="16"/>
              </w:rPr>
              <w:t>Unilateral Contribution</w:t>
            </w:r>
          </w:p>
          <w:p w14:paraId="279D50C1" w14:textId="77777777" w:rsidR="00E2142E" w:rsidRPr="00801FC2" w:rsidRDefault="00E2142E" w:rsidP="00BE00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s="Arial"/>
                <w:sz w:val="16"/>
                <w:szCs w:val="16"/>
              </w:rPr>
            </w:pPr>
            <w:r w:rsidRPr="00801FC2">
              <w:rPr>
                <w:rFonts w:eastAsia="Calibri" w:cs="Arial"/>
                <w:sz w:val="16"/>
                <w:szCs w:val="16"/>
              </w:rPr>
              <w:t>Honduras has a relative goal of reducing emissions by 15% compared to the BAU scenario for 2030. This commitment is conditional on the support being favorable, predictable, and making climate financing mechanisms viable. Additionally, as a sector objective, the Republic of Honduras commits itself to afforestation and reforestation of 1 million hectares of the forest before 2030. Likewise, the NAMA of efficient stoves expects to reduce firewood consumption in families, helping fight against deforestation.</w:t>
            </w:r>
          </w:p>
          <w:p w14:paraId="592FC64B" w14:textId="77777777" w:rsidR="00E2142E" w:rsidRPr="00801FC2" w:rsidRDefault="00E2142E" w:rsidP="00BE00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s="Arial"/>
                <w:b/>
                <w:bCs/>
                <w:sz w:val="16"/>
                <w:szCs w:val="16"/>
              </w:rPr>
            </w:pPr>
            <w:r w:rsidRPr="00801FC2">
              <w:rPr>
                <w:rFonts w:eastAsia="Calibri" w:cs="Arial"/>
                <w:b/>
                <w:bCs/>
                <w:sz w:val="16"/>
                <w:szCs w:val="16"/>
              </w:rPr>
              <w:t>NDC (updated 2020)</w:t>
            </w:r>
          </w:p>
          <w:p w14:paraId="18D6FE58" w14:textId="77777777" w:rsidR="00E2142E" w:rsidRPr="00801FC2" w:rsidRDefault="00E2142E" w:rsidP="00BE00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s="Arial"/>
                <w:sz w:val="16"/>
                <w:szCs w:val="16"/>
              </w:rPr>
            </w:pPr>
            <w:r w:rsidRPr="00801FC2">
              <w:rPr>
                <w:rFonts w:eastAsia="Calibri" w:cs="Arial"/>
                <w:sz w:val="16"/>
                <w:szCs w:val="16"/>
              </w:rPr>
              <w:t>By 2030, Honduras is committed to promoting the implementation of the “conservation and functional restoration of the rural landscape”, reaching 1.3 million hectares of forest in the process of restoration.</w:t>
            </w:r>
          </w:p>
          <w:p w14:paraId="0AE83A4F" w14:textId="77777777" w:rsidR="00E2142E" w:rsidRPr="00801FC2" w:rsidRDefault="00E2142E" w:rsidP="00BE00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s="Arial"/>
                <w:sz w:val="16"/>
                <w:szCs w:val="16"/>
              </w:rPr>
            </w:pPr>
            <w:r w:rsidRPr="00801FC2">
              <w:rPr>
                <w:rFonts w:eastAsia="Calibri" w:cs="Arial"/>
                <w:sz w:val="16"/>
                <w:szCs w:val="16"/>
              </w:rPr>
              <w:t>By 2030, Honduras is committed to 1) Reducing 16% the emissions by promoting renewable energies, strengthening energy efficiency, fostering electromobility, and 2) Reducing family firewood consumption by 39%, helping in the fight against deforestation.</w:t>
            </w:r>
          </w:p>
        </w:tc>
        <w:tc>
          <w:tcPr>
            <w:tcW w:w="2551" w:type="dxa"/>
          </w:tcPr>
          <w:p w14:paraId="0A118EFE" w14:textId="77777777" w:rsidR="00E2142E" w:rsidRPr="00801FC2" w:rsidRDefault="00E2142E" w:rsidP="00E2142E">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7" w:hanging="357"/>
              <w:rPr>
                <w:rFonts w:eastAsia="Calibri" w:cs="Arial"/>
                <w:sz w:val="16"/>
                <w:szCs w:val="16"/>
              </w:rPr>
            </w:pPr>
            <w:r w:rsidRPr="00801FC2">
              <w:rPr>
                <w:rFonts w:eastAsia="Calibri" w:cs="Arial"/>
                <w:sz w:val="16"/>
                <w:szCs w:val="16"/>
              </w:rPr>
              <w:t>Infrastructure</w:t>
            </w:r>
          </w:p>
          <w:p w14:paraId="5EA752C8" w14:textId="77777777" w:rsidR="00E2142E" w:rsidRPr="00801FC2" w:rsidRDefault="00E2142E" w:rsidP="00E2142E">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7" w:hanging="357"/>
              <w:rPr>
                <w:rFonts w:eastAsia="Calibri" w:cs="Arial"/>
                <w:sz w:val="16"/>
                <w:szCs w:val="16"/>
              </w:rPr>
            </w:pPr>
            <w:r w:rsidRPr="00801FC2">
              <w:rPr>
                <w:rFonts w:eastAsia="Calibri" w:cs="Arial"/>
                <w:sz w:val="16"/>
                <w:szCs w:val="16"/>
              </w:rPr>
              <w:t>Agri-food Sector and Food Sovereignty</w:t>
            </w:r>
          </w:p>
          <w:p w14:paraId="541F9873" w14:textId="77777777" w:rsidR="00E2142E" w:rsidRPr="00801FC2" w:rsidRDefault="00E2142E" w:rsidP="00E2142E">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7" w:hanging="357"/>
              <w:rPr>
                <w:rFonts w:eastAsia="Calibri" w:cs="Arial"/>
                <w:sz w:val="16"/>
                <w:szCs w:val="16"/>
              </w:rPr>
            </w:pPr>
            <w:r w:rsidRPr="00801FC2">
              <w:rPr>
                <w:rFonts w:eastAsia="Calibri" w:cs="Arial"/>
                <w:sz w:val="16"/>
                <w:szCs w:val="16"/>
              </w:rPr>
              <w:t>Biodiversity and Ecosystem Services</w:t>
            </w:r>
          </w:p>
          <w:p w14:paraId="5B284CCA" w14:textId="77777777" w:rsidR="00E2142E" w:rsidRPr="00801FC2" w:rsidRDefault="00E2142E" w:rsidP="00E2142E">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7" w:hanging="357"/>
              <w:rPr>
                <w:rFonts w:eastAsia="Calibri" w:cs="Arial"/>
                <w:sz w:val="16"/>
                <w:szCs w:val="16"/>
              </w:rPr>
            </w:pPr>
            <w:r w:rsidRPr="00801FC2">
              <w:rPr>
                <w:rFonts w:eastAsia="Calibri" w:cs="Arial"/>
                <w:sz w:val="16"/>
                <w:szCs w:val="16"/>
              </w:rPr>
              <w:t>Water resources</w:t>
            </w:r>
          </w:p>
          <w:p w14:paraId="3416D97E" w14:textId="77777777" w:rsidR="00E2142E" w:rsidRPr="00801FC2" w:rsidRDefault="00E2142E" w:rsidP="00BE001B">
            <w:pPr>
              <w:jc w:val="center"/>
              <w:rPr>
                <w:rFonts w:eastAsia="Calibri" w:cs="Arial"/>
                <w:sz w:val="16"/>
                <w:szCs w:val="16"/>
                <w:lang w:eastAsia="es-ES_tradnl"/>
              </w:rPr>
            </w:pPr>
          </w:p>
        </w:tc>
        <w:tc>
          <w:tcPr>
            <w:tcW w:w="2127" w:type="dxa"/>
          </w:tcPr>
          <w:p w14:paraId="6BA29721" w14:textId="77777777" w:rsidR="00E2142E" w:rsidRPr="00801FC2" w:rsidRDefault="00E2142E" w:rsidP="00E2142E">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7" w:hanging="357"/>
              <w:rPr>
                <w:rFonts w:eastAsia="Calibri" w:cs="Arial"/>
                <w:sz w:val="16"/>
                <w:szCs w:val="16"/>
              </w:rPr>
            </w:pPr>
            <w:r w:rsidRPr="00801FC2">
              <w:rPr>
                <w:rFonts w:eastAsia="Calibri" w:cs="Arial"/>
                <w:sz w:val="16"/>
                <w:szCs w:val="16"/>
              </w:rPr>
              <w:t>No explicit targets</w:t>
            </w:r>
          </w:p>
        </w:tc>
      </w:tr>
      <w:tr w:rsidR="00E2142E" w:rsidRPr="005A5595" w14:paraId="1AB67F3E" w14:textId="77777777" w:rsidTr="00BE001B">
        <w:trPr>
          <w:trHeight w:val="232"/>
        </w:trPr>
        <w:tc>
          <w:tcPr>
            <w:tcW w:w="1405" w:type="dxa"/>
          </w:tcPr>
          <w:p w14:paraId="4D4CFDB5" w14:textId="77777777" w:rsidR="00E2142E" w:rsidRPr="00801FC2" w:rsidRDefault="00E2142E" w:rsidP="00BE001B">
            <w:pPr>
              <w:jc w:val="center"/>
              <w:rPr>
                <w:rFonts w:eastAsia="Calibri" w:cs="Arial"/>
                <w:sz w:val="16"/>
                <w:szCs w:val="16"/>
                <w:lang w:eastAsia="es-ES_tradnl"/>
              </w:rPr>
            </w:pPr>
            <w:r w:rsidRPr="00801FC2">
              <w:rPr>
                <w:rFonts w:eastAsia="Calibri" w:cs="Arial"/>
                <w:sz w:val="16"/>
                <w:szCs w:val="16"/>
                <w:lang w:eastAsia="es-ES_tradnl"/>
              </w:rPr>
              <w:t>El Salvador</w:t>
            </w:r>
          </w:p>
        </w:tc>
        <w:tc>
          <w:tcPr>
            <w:tcW w:w="3410" w:type="dxa"/>
          </w:tcPr>
          <w:p w14:paraId="1DADD82E" w14:textId="77777777" w:rsidR="00E2142E" w:rsidRPr="00801FC2" w:rsidRDefault="00E2142E" w:rsidP="00BE00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s="Arial"/>
                <w:b/>
                <w:bCs/>
                <w:sz w:val="16"/>
                <w:szCs w:val="16"/>
              </w:rPr>
            </w:pPr>
            <w:r w:rsidRPr="00801FC2">
              <w:rPr>
                <w:rFonts w:eastAsia="Calibri" w:cs="Arial"/>
                <w:b/>
                <w:bCs/>
                <w:sz w:val="16"/>
                <w:szCs w:val="16"/>
              </w:rPr>
              <w:t>NDC (2016)</w:t>
            </w:r>
          </w:p>
          <w:p w14:paraId="314B24DE" w14:textId="77777777" w:rsidR="00E2142E" w:rsidRPr="00801FC2" w:rsidRDefault="00E2142E" w:rsidP="00BE00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s="Arial"/>
                <w:sz w:val="16"/>
                <w:szCs w:val="16"/>
              </w:rPr>
            </w:pPr>
            <w:r w:rsidRPr="00801FC2">
              <w:rPr>
                <w:rFonts w:eastAsia="Calibri" w:cs="Arial"/>
                <w:sz w:val="16"/>
                <w:szCs w:val="16"/>
              </w:rPr>
              <w:t>Unilateral Contribution</w:t>
            </w:r>
          </w:p>
          <w:p w14:paraId="2AD22F6B" w14:textId="77777777" w:rsidR="00E2142E" w:rsidRPr="00801FC2" w:rsidRDefault="00E2142E" w:rsidP="00BE00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s="Arial"/>
                <w:sz w:val="16"/>
                <w:szCs w:val="16"/>
              </w:rPr>
            </w:pPr>
            <w:r w:rsidRPr="00801FC2">
              <w:rPr>
                <w:rFonts w:eastAsia="Calibri" w:cs="Arial"/>
                <w:sz w:val="16"/>
                <w:szCs w:val="16"/>
              </w:rPr>
              <w:t>El Salvador has a series of contributions to</w:t>
            </w:r>
          </w:p>
          <w:p w14:paraId="5C71DC62" w14:textId="77777777" w:rsidR="00E2142E" w:rsidRPr="00801FC2" w:rsidRDefault="00E2142E" w:rsidP="00BE00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s="Arial"/>
                <w:sz w:val="16"/>
                <w:szCs w:val="16"/>
              </w:rPr>
            </w:pPr>
            <w:r w:rsidRPr="00801FC2">
              <w:rPr>
                <w:rFonts w:eastAsia="Calibri" w:cs="Arial"/>
                <w:sz w:val="16"/>
                <w:szCs w:val="16"/>
              </w:rPr>
              <w:t>establish a legislative and institutional framework that can guide economic and social development towards low emissions and adaptation to climate change.</w:t>
            </w:r>
          </w:p>
          <w:p w14:paraId="17208481" w14:textId="77777777" w:rsidR="00E2142E" w:rsidRPr="00801FC2" w:rsidRDefault="00E2142E" w:rsidP="00BE00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s="Arial"/>
                <w:b/>
                <w:bCs/>
                <w:sz w:val="16"/>
                <w:szCs w:val="16"/>
              </w:rPr>
            </w:pPr>
            <w:r w:rsidRPr="00801FC2">
              <w:rPr>
                <w:rFonts w:eastAsia="Calibri" w:cs="Arial"/>
                <w:sz w:val="16"/>
                <w:szCs w:val="16"/>
              </w:rPr>
              <w:t xml:space="preserve"> In October 2016, El Salvador established a 46% reduction of GHG emissions concerning growth without concrete mitigation actions or business as usual (BAU) by 2025.</w:t>
            </w:r>
          </w:p>
        </w:tc>
        <w:tc>
          <w:tcPr>
            <w:tcW w:w="2551" w:type="dxa"/>
          </w:tcPr>
          <w:p w14:paraId="558807BA" w14:textId="77777777" w:rsidR="00E2142E" w:rsidRPr="00801FC2" w:rsidRDefault="00E2142E" w:rsidP="00E2142E">
            <w:pPr>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7" w:hanging="357"/>
              <w:rPr>
                <w:rFonts w:eastAsia="Calibri" w:cs="Arial"/>
                <w:sz w:val="16"/>
                <w:szCs w:val="16"/>
              </w:rPr>
            </w:pPr>
            <w:r w:rsidRPr="00801FC2">
              <w:rPr>
                <w:rFonts w:eastAsia="Calibri" w:cs="Arial"/>
                <w:sz w:val="16"/>
                <w:szCs w:val="16"/>
              </w:rPr>
              <w:t>Human health</w:t>
            </w:r>
          </w:p>
          <w:p w14:paraId="5E9D539E" w14:textId="77777777" w:rsidR="00E2142E" w:rsidRPr="00801FC2" w:rsidRDefault="00E2142E" w:rsidP="00E2142E">
            <w:pPr>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7" w:hanging="357"/>
              <w:rPr>
                <w:rFonts w:eastAsia="Calibri" w:cs="Arial"/>
                <w:sz w:val="16"/>
                <w:szCs w:val="16"/>
              </w:rPr>
            </w:pPr>
            <w:r w:rsidRPr="00801FC2">
              <w:rPr>
                <w:rFonts w:eastAsia="Calibri" w:cs="Arial"/>
                <w:sz w:val="16"/>
                <w:szCs w:val="16"/>
              </w:rPr>
              <w:t>Coastal Marine Zones</w:t>
            </w:r>
          </w:p>
          <w:p w14:paraId="549DC790" w14:textId="77777777" w:rsidR="00E2142E" w:rsidRPr="00801FC2" w:rsidRDefault="00E2142E" w:rsidP="00E2142E">
            <w:pPr>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7" w:hanging="357"/>
              <w:rPr>
                <w:rFonts w:eastAsia="Calibri" w:cs="Arial"/>
                <w:sz w:val="16"/>
                <w:szCs w:val="16"/>
              </w:rPr>
            </w:pPr>
            <w:r w:rsidRPr="00801FC2">
              <w:rPr>
                <w:rFonts w:eastAsia="Calibri" w:cs="Arial"/>
                <w:sz w:val="16"/>
                <w:szCs w:val="16"/>
              </w:rPr>
              <w:t>Agriculture, Livestock and Food Security</w:t>
            </w:r>
          </w:p>
          <w:p w14:paraId="43FDC01F" w14:textId="77777777" w:rsidR="00E2142E" w:rsidRPr="00801FC2" w:rsidRDefault="00E2142E" w:rsidP="00E2142E">
            <w:pPr>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7" w:hanging="357"/>
              <w:rPr>
                <w:rFonts w:eastAsia="Calibri" w:cs="Arial"/>
                <w:sz w:val="16"/>
                <w:szCs w:val="16"/>
              </w:rPr>
            </w:pPr>
            <w:r w:rsidRPr="00801FC2">
              <w:rPr>
                <w:rFonts w:eastAsia="Calibri" w:cs="Arial"/>
                <w:sz w:val="16"/>
                <w:szCs w:val="16"/>
              </w:rPr>
              <w:t>Forest Resources</w:t>
            </w:r>
          </w:p>
          <w:p w14:paraId="78C032CF" w14:textId="77777777" w:rsidR="00E2142E" w:rsidRPr="00801FC2" w:rsidRDefault="00E2142E" w:rsidP="00E2142E">
            <w:pPr>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7" w:hanging="357"/>
              <w:rPr>
                <w:rFonts w:eastAsia="Calibri" w:cs="Arial"/>
                <w:sz w:val="16"/>
                <w:szCs w:val="16"/>
              </w:rPr>
            </w:pPr>
            <w:r w:rsidRPr="00801FC2">
              <w:rPr>
                <w:rFonts w:eastAsia="Calibri" w:cs="Arial"/>
                <w:sz w:val="16"/>
                <w:szCs w:val="16"/>
              </w:rPr>
              <w:t>Ecosystems and Protected Areas</w:t>
            </w:r>
          </w:p>
          <w:p w14:paraId="006A2F55" w14:textId="77777777" w:rsidR="00E2142E" w:rsidRPr="00801FC2" w:rsidRDefault="00E2142E" w:rsidP="00E2142E">
            <w:pPr>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7" w:hanging="357"/>
              <w:rPr>
                <w:rFonts w:eastAsia="Calibri" w:cs="Arial"/>
                <w:sz w:val="16"/>
                <w:szCs w:val="16"/>
              </w:rPr>
            </w:pPr>
            <w:r w:rsidRPr="00801FC2">
              <w:rPr>
                <w:rFonts w:eastAsia="Calibri" w:cs="Arial"/>
                <w:sz w:val="16"/>
                <w:szCs w:val="16"/>
              </w:rPr>
              <w:t>Infrastructure</w:t>
            </w:r>
          </w:p>
          <w:p w14:paraId="04A6745F" w14:textId="77777777" w:rsidR="00E2142E" w:rsidRPr="00801FC2" w:rsidRDefault="00E2142E" w:rsidP="00E2142E">
            <w:pPr>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7" w:hanging="357"/>
              <w:rPr>
                <w:rFonts w:eastAsia="Calibri" w:cs="Arial"/>
                <w:sz w:val="16"/>
                <w:szCs w:val="16"/>
              </w:rPr>
            </w:pPr>
            <w:r w:rsidRPr="00801FC2">
              <w:rPr>
                <w:rFonts w:eastAsia="Calibri" w:cs="Arial"/>
                <w:sz w:val="16"/>
                <w:szCs w:val="16"/>
              </w:rPr>
              <w:t>Water Resources</w:t>
            </w:r>
          </w:p>
        </w:tc>
        <w:tc>
          <w:tcPr>
            <w:tcW w:w="2127" w:type="dxa"/>
          </w:tcPr>
          <w:p w14:paraId="00CB259A" w14:textId="77777777" w:rsidR="00E2142E" w:rsidRPr="00801FC2" w:rsidRDefault="00E2142E" w:rsidP="00BE00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Calibri" w:cs="Arial"/>
                <w:sz w:val="16"/>
                <w:szCs w:val="16"/>
              </w:rPr>
            </w:pPr>
            <w:r w:rsidRPr="00801FC2">
              <w:rPr>
                <w:rFonts w:eastAsia="Calibri" w:cs="Arial"/>
                <w:sz w:val="16"/>
                <w:szCs w:val="16"/>
              </w:rPr>
              <w:t>Increase in renewable energy by 2025 not less than 12%.</w:t>
            </w:r>
          </w:p>
          <w:p w14:paraId="0C6E2FB1" w14:textId="77777777" w:rsidR="00E2142E" w:rsidRPr="00801FC2" w:rsidRDefault="00E2142E" w:rsidP="00BE00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Calibri" w:cs="Arial"/>
                <w:sz w:val="16"/>
                <w:szCs w:val="16"/>
              </w:rPr>
            </w:pPr>
          </w:p>
          <w:p w14:paraId="7A2849FB" w14:textId="77777777" w:rsidR="00E2142E" w:rsidRPr="00801FC2" w:rsidRDefault="00E2142E" w:rsidP="00BE00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s="Arial"/>
                <w:sz w:val="16"/>
                <w:szCs w:val="16"/>
              </w:rPr>
            </w:pPr>
            <w:r w:rsidRPr="00801FC2">
              <w:rPr>
                <w:rFonts w:eastAsia="Calibri" w:cs="Arial"/>
                <w:sz w:val="16"/>
                <w:szCs w:val="16"/>
              </w:rPr>
              <w:t>The prioritization of energy efficiency and renewable energy projects and, additionally, the reduction of emissions from the transport sector is mentioned</w:t>
            </w:r>
          </w:p>
          <w:p w14:paraId="76AB0A49" w14:textId="77777777" w:rsidR="00E2142E" w:rsidRPr="00801FC2" w:rsidRDefault="00E2142E" w:rsidP="00BE00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Calibri" w:cs="Arial"/>
                <w:sz w:val="16"/>
                <w:szCs w:val="16"/>
              </w:rPr>
            </w:pPr>
          </w:p>
        </w:tc>
      </w:tr>
      <w:tr w:rsidR="00E2142E" w:rsidRPr="005A5595" w14:paraId="70B9B605" w14:textId="77777777" w:rsidTr="00BE001B">
        <w:trPr>
          <w:trHeight w:val="232"/>
        </w:trPr>
        <w:tc>
          <w:tcPr>
            <w:tcW w:w="1405" w:type="dxa"/>
          </w:tcPr>
          <w:p w14:paraId="663C3694" w14:textId="77777777" w:rsidR="00E2142E" w:rsidRPr="00801FC2" w:rsidRDefault="00E2142E" w:rsidP="00BE001B">
            <w:pPr>
              <w:jc w:val="center"/>
              <w:rPr>
                <w:rFonts w:eastAsia="Calibri" w:cs="Arial"/>
                <w:sz w:val="16"/>
                <w:szCs w:val="16"/>
                <w:lang w:eastAsia="es-ES_tradnl"/>
              </w:rPr>
            </w:pPr>
            <w:r w:rsidRPr="00801FC2">
              <w:rPr>
                <w:rFonts w:eastAsia="Calibri" w:cs="Arial"/>
                <w:sz w:val="16"/>
                <w:szCs w:val="16"/>
                <w:lang w:eastAsia="es-ES_tradnl"/>
              </w:rPr>
              <w:t>Nicaragua</w:t>
            </w:r>
          </w:p>
        </w:tc>
        <w:tc>
          <w:tcPr>
            <w:tcW w:w="3410" w:type="dxa"/>
          </w:tcPr>
          <w:p w14:paraId="2F06A96D" w14:textId="77777777" w:rsidR="00E2142E" w:rsidRPr="00801FC2" w:rsidRDefault="00E2142E" w:rsidP="00BE00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s="Arial"/>
                <w:b/>
                <w:bCs/>
                <w:sz w:val="16"/>
                <w:szCs w:val="16"/>
              </w:rPr>
            </w:pPr>
            <w:r w:rsidRPr="00801FC2">
              <w:rPr>
                <w:rFonts w:eastAsia="Calibri" w:cs="Arial"/>
                <w:b/>
                <w:bCs/>
                <w:sz w:val="16"/>
                <w:szCs w:val="16"/>
              </w:rPr>
              <w:t>NDC (2016)</w:t>
            </w:r>
          </w:p>
          <w:p w14:paraId="2D9E9663" w14:textId="77777777" w:rsidR="00E2142E" w:rsidRPr="00801FC2" w:rsidRDefault="00E2142E" w:rsidP="00BE00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s="Arial"/>
                <w:sz w:val="16"/>
                <w:szCs w:val="16"/>
              </w:rPr>
            </w:pPr>
            <w:r w:rsidRPr="00801FC2">
              <w:rPr>
                <w:rFonts w:eastAsia="Calibri" w:cs="Arial"/>
                <w:sz w:val="16"/>
                <w:szCs w:val="16"/>
              </w:rPr>
              <w:t>Unilateral Contribution</w:t>
            </w:r>
          </w:p>
          <w:p w14:paraId="37FC1AFF" w14:textId="77777777" w:rsidR="00E2142E" w:rsidRPr="00801FC2" w:rsidRDefault="00E2142E" w:rsidP="00BE00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s="Arial"/>
                <w:sz w:val="16"/>
                <w:szCs w:val="16"/>
              </w:rPr>
            </w:pPr>
            <w:r w:rsidRPr="00801FC2">
              <w:rPr>
                <w:rFonts w:eastAsia="Calibri" w:cs="Arial"/>
                <w:sz w:val="16"/>
                <w:szCs w:val="16"/>
              </w:rPr>
              <w:t xml:space="preserve">- Nicaragua has an unconditional sectoral goal that establishes that 60% of the installed capacity of the electricity matrix must come from renewable energy sources by 2030. </w:t>
            </w:r>
          </w:p>
          <w:p w14:paraId="5DA489F8" w14:textId="77777777" w:rsidR="00E2142E" w:rsidRPr="00801FC2" w:rsidRDefault="00E2142E" w:rsidP="00BE00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s="Arial"/>
                <w:sz w:val="16"/>
                <w:szCs w:val="16"/>
              </w:rPr>
            </w:pPr>
            <w:r w:rsidRPr="00801FC2">
              <w:rPr>
                <w:rFonts w:eastAsia="Calibri" w:cs="Arial"/>
                <w:sz w:val="16"/>
                <w:szCs w:val="16"/>
              </w:rPr>
              <w:t>- Likewise, it proposes to conserve the absorption capacity of carbon sinks concerning the Reference Scenario by 2030.</w:t>
            </w:r>
          </w:p>
          <w:p w14:paraId="0C4DC710" w14:textId="77777777" w:rsidR="00E2142E" w:rsidRPr="00801FC2" w:rsidRDefault="00E2142E" w:rsidP="00BE00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s="Arial"/>
                <w:sz w:val="16"/>
                <w:szCs w:val="16"/>
              </w:rPr>
            </w:pPr>
            <w:r w:rsidRPr="00801FC2">
              <w:rPr>
                <w:rFonts w:eastAsia="Calibri" w:cs="Arial"/>
                <w:sz w:val="16"/>
                <w:szCs w:val="16"/>
              </w:rPr>
              <w:t>Its conditional goal establishes the increase of the carbon absorption capacity by 20% concerning the Reference Scenario by 2030.</w:t>
            </w:r>
          </w:p>
          <w:p w14:paraId="1EDA6DBB" w14:textId="77777777" w:rsidR="00E2142E" w:rsidRPr="00801FC2" w:rsidRDefault="00E2142E" w:rsidP="00BE00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s="Arial"/>
                <w:b/>
                <w:bCs/>
                <w:sz w:val="16"/>
                <w:szCs w:val="16"/>
              </w:rPr>
            </w:pPr>
          </w:p>
          <w:p w14:paraId="3CB06C43" w14:textId="77777777" w:rsidR="00E2142E" w:rsidRPr="00801FC2" w:rsidRDefault="00E2142E" w:rsidP="00BE00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s="Arial"/>
                <w:b/>
                <w:bCs/>
                <w:sz w:val="16"/>
                <w:szCs w:val="16"/>
              </w:rPr>
            </w:pPr>
            <w:r w:rsidRPr="00801FC2">
              <w:rPr>
                <w:rFonts w:eastAsia="Calibri" w:cs="Arial"/>
                <w:b/>
                <w:bCs/>
                <w:sz w:val="16"/>
                <w:szCs w:val="16"/>
              </w:rPr>
              <w:t>NDC (2020)</w:t>
            </w:r>
          </w:p>
          <w:p w14:paraId="57360B33" w14:textId="77777777" w:rsidR="00E2142E" w:rsidRPr="00801FC2" w:rsidRDefault="00E2142E" w:rsidP="00BE00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s="Arial"/>
                <w:sz w:val="16"/>
                <w:szCs w:val="16"/>
              </w:rPr>
            </w:pPr>
            <w:r w:rsidRPr="00801FC2">
              <w:rPr>
                <w:rFonts w:eastAsia="Calibri" w:cs="Arial"/>
                <w:sz w:val="16"/>
                <w:szCs w:val="16"/>
              </w:rPr>
              <w:t>Conditional: increase the energy matrix up to 65% with renewable energy sources by 2030.</w:t>
            </w:r>
          </w:p>
        </w:tc>
        <w:tc>
          <w:tcPr>
            <w:tcW w:w="2551" w:type="dxa"/>
          </w:tcPr>
          <w:p w14:paraId="4F587A98" w14:textId="77777777" w:rsidR="00E2142E" w:rsidRPr="00801FC2" w:rsidRDefault="00E2142E" w:rsidP="00E2142E">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7" w:hanging="357"/>
              <w:rPr>
                <w:rFonts w:eastAsia="Calibri" w:cs="Arial"/>
                <w:sz w:val="16"/>
                <w:szCs w:val="16"/>
              </w:rPr>
            </w:pPr>
            <w:r w:rsidRPr="00801FC2">
              <w:rPr>
                <w:rFonts w:eastAsia="Calibri" w:cs="Arial"/>
                <w:sz w:val="16"/>
                <w:szCs w:val="16"/>
              </w:rPr>
              <w:t>Energy</w:t>
            </w:r>
          </w:p>
          <w:p w14:paraId="1063F59C" w14:textId="77777777" w:rsidR="00E2142E" w:rsidRPr="00801FC2" w:rsidRDefault="00E2142E" w:rsidP="00E2142E">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7" w:hanging="357"/>
              <w:rPr>
                <w:rFonts w:eastAsia="Calibri" w:cs="Arial"/>
                <w:sz w:val="16"/>
                <w:szCs w:val="16"/>
              </w:rPr>
            </w:pPr>
            <w:r w:rsidRPr="00801FC2">
              <w:rPr>
                <w:rFonts w:eastAsia="Calibri" w:cs="Arial"/>
                <w:sz w:val="16"/>
                <w:szCs w:val="16"/>
              </w:rPr>
              <w:t>Infrastructure</w:t>
            </w:r>
          </w:p>
          <w:p w14:paraId="65D213B9" w14:textId="77777777" w:rsidR="00E2142E" w:rsidRPr="00801FC2" w:rsidRDefault="00E2142E" w:rsidP="00E2142E">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7" w:hanging="357"/>
              <w:rPr>
                <w:rFonts w:eastAsia="Calibri" w:cs="Arial"/>
                <w:sz w:val="16"/>
                <w:szCs w:val="16"/>
              </w:rPr>
            </w:pPr>
            <w:r w:rsidRPr="00801FC2">
              <w:rPr>
                <w:rFonts w:eastAsia="Calibri" w:cs="Arial"/>
                <w:sz w:val="16"/>
                <w:szCs w:val="16"/>
              </w:rPr>
              <w:t>Agriculture, livestock, and food security</w:t>
            </w:r>
          </w:p>
          <w:p w14:paraId="474B86EF" w14:textId="77777777" w:rsidR="00E2142E" w:rsidRPr="00801FC2" w:rsidRDefault="00E2142E" w:rsidP="00E2142E">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7" w:hanging="357"/>
              <w:rPr>
                <w:rFonts w:eastAsia="Calibri" w:cs="Arial"/>
                <w:sz w:val="16"/>
                <w:szCs w:val="16"/>
              </w:rPr>
            </w:pPr>
            <w:r w:rsidRPr="00801FC2">
              <w:rPr>
                <w:rFonts w:eastAsia="Calibri" w:cs="Arial"/>
                <w:sz w:val="16"/>
                <w:szCs w:val="16"/>
              </w:rPr>
              <w:t>Forest resources, protected areas</w:t>
            </w:r>
          </w:p>
          <w:p w14:paraId="378459CA" w14:textId="77777777" w:rsidR="00E2142E" w:rsidRPr="00801FC2" w:rsidRDefault="00E2142E" w:rsidP="00E2142E">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7" w:hanging="357"/>
              <w:rPr>
                <w:rFonts w:eastAsia="Calibri" w:cs="Arial"/>
                <w:sz w:val="16"/>
                <w:szCs w:val="16"/>
              </w:rPr>
            </w:pPr>
            <w:r w:rsidRPr="00801FC2">
              <w:rPr>
                <w:rFonts w:eastAsia="Calibri" w:cs="Arial"/>
                <w:sz w:val="16"/>
                <w:szCs w:val="16"/>
              </w:rPr>
              <w:t>Biodiversity</w:t>
            </w:r>
          </w:p>
          <w:p w14:paraId="6B75617D" w14:textId="77777777" w:rsidR="00E2142E" w:rsidRPr="00801FC2" w:rsidRDefault="00E2142E" w:rsidP="00BE001B">
            <w:pPr>
              <w:rPr>
                <w:rFonts w:eastAsia="Calibri" w:cs="Arial"/>
                <w:sz w:val="16"/>
                <w:szCs w:val="16"/>
              </w:rPr>
            </w:pPr>
          </w:p>
        </w:tc>
        <w:tc>
          <w:tcPr>
            <w:tcW w:w="2127" w:type="dxa"/>
          </w:tcPr>
          <w:p w14:paraId="1129E0B7" w14:textId="77777777" w:rsidR="00E2142E" w:rsidRPr="00801FC2" w:rsidRDefault="00E2142E" w:rsidP="00BE00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s="Arial"/>
                <w:sz w:val="16"/>
                <w:szCs w:val="16"/>
              </w:rPr>
            </w:pPr>
            <w:r w:rsidRPr="00801FC2">
              <w:rPr>
                <w:rFonts w:eastAsia="Calibri" w:cs="Arial"/>
                <w:sz w:val="16"/>
                <w:szCs w:val="16"/>
              </w:rPr>
              <w:t xml:space="preserve">Increase the participation of renewable sources in electricity generation to 60% in 2030 (starting from the 53.5% existing in 2017). </w:t>
            </w:r>
          </w:p>
          <w:p w14:paraId="0E9E79F7" w14:textId="77777777" w:rsidR="00E2142E" w:rsidRPr="00801FC2" w:rsidRDefault="00E2142E" w:rsidP="00BE00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7"/>
              <w:rPr>
                <w:rFonts w:eastAsia="Calibri" w:cs="Arial"/>
                <w:sz w:val="16"/>
                <w:szCs w:val="16"/>
              </w:rPr>
            </w:pPr>
          </w:p>
        </w:tc>
      </w:tr>
      <w:tr w:rsidR="00E2142E" w:rsidRPr="005A5595" w14:paraId="424F136E" w14:textId="77777777" w:rsidTr="00BE001B">
        <w:trPr>
          <w:trHeight w:val="232"/>
        </w:trPr>
        <w:tc>
          <w:tcPr>
            <w:tcW w:w="1405" w:type="dxa"/>
          </w:tcPr>
          <w:p w14:paraId="1F88CDFD" w14:textId="77777777" w:rsidR="00E2142E" w:rsidRPr="00801FC2" w:rsidRDefault="00E2142E" w:rsidP="00BE001B">
            <w:pPr>
              <w:jc w:val="center"/>
              <w:rPr>
                <w:rFonts w:eastAsia="Calibri" w:cs="Arial"/>
                <w:sz w:val="16"/>
                <w:szCs w:val="16"/>
                <w:lang w:eastAsia="es-ES_tradnl"/>
              </w:rPr>
            </w:pPr>
            <w:r w:rsidRPr="00801FC2">
              <w:rPr>
                <w:rFonts w:eastAsia="Calibri" w:cs="Arial"/>
                <w:sz w:val="16"/>
                <w:szCs w:val="16"/>
                <w:lang w:eastAsia="es-ES_tradnl"/>
              </w:rPr>
              <w:t>Costa Rica</w:t>
            </w:r>
          </w:p>
        </w:tc>
        <w:tc>
          <w:tcPr>
            <w:tcW w:w="3410" w:type="dxa"/>
          </w:tcPr>
          <w:p w14:paraId="5E53133D" w14:textId="77777777" w:rsidR="00E2142E" w:rsidRPr="00801FC2" w:rsidRDefault="00E2142E" w:rsidP="00BE00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s="Arial"/>
                <w:b/>
                <w:bCs/>
                <w:sz w:val="16"/>
                <w:szCs w:val="16"/>
              </w:rPr>
            </w:pPr>
            <w:r w:rsidRPr="00801FC2">
              <w:rPr>
                <w:rFonts w:eastAsia="Calibri" w:cs="Arial"/>
                <w:b/>
                <w:bCs/>
                <w:sz w:val="16"/>
                <w:szCs w:val="16"/>
              </w:rPr>
              <w:t>NDC (2016)</w:t>
            </w:r>
          </w:p>
          <w:p w14:paraId="3415EB12" w14:textId="77777777" w:rsidR="00E2142E" w:rsidRPr="00801FC2" w:rsidRDefault="00E2142E" w:rsidP="00BE00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s="Arial"/>
                <w:sz w:val="16"/>
                <w:szCs w:val="16"/>
              </w:rPr>
            </w:pPr>
            <w:r w:rsidRPr="00801FC2">
              <w:rPr>
                <w:rFonts w:eastAsia="Calibri" w:cs="Arial"/>
                <w:sz w:val="16"/>
                <w:szCs w:val="16"/>
              </w:rPr>
              <w:t>Unilateral Contribution</w:t>
            </w:r>
          </w:p>
          <w:p w14:paraId="47E7D832" w14:textId="636E2CF5" w:rsidR="00E2142E" w:rsidRPr="00801FC2" w:rsidRDefault="00E2142E" w:rsidP="00BE00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s="Arial"/>
                <w:sz w:val="16"/>
                <w:szCs w:val="16"/>
              </w:rPr>
            </w:pPr>
            <w:r w:rsidRPr="00801FC2">
              <w:rPr>
                <w:rFonts w:eastAsia="Calibri" w:cs="Arial"/>
                <w:sz w:val="16"/>
                <w:szCs w:val="16"/>
              </w:rPr>
              <w:t xml:space="preserve">The country committed to an absolute maximum of emissions of 9,374,000 net TCO2eq by 2030, with a proposed trajectory of per capita emissions of 1.73 net tons per capita by 2030; 1.19 net tons per capita by 2050, and -0.27 net tons per capita by 2100. This limit is consistent with the global trajectory necessary to meet the 2 ° C goal. The national commitment implies a reduction of GHG emissions of 44%, compared to a Business </w:t>
            </w:r>
            <w:r w:rsidR="0016708A" w:rsidRPr="00801FC2">
              <w:rPr>
                <w:rFonts w:eastAsia="Calibri" w:cs="Arial"/>
                <w:sz w:val="16"/>
                <w:szCs w:val="16"/>
              </w:rPr>
              <w:t>a</w:t>
            </w:r>
            <w:r w:rsidRPr="00801FC2">
              <w:rPr>
                <w:rFonts w:eastAsia="Calibri" w:cs="Arial"/>
                <w:sz w:val="16"/>
                <w:szCs w:val="16"/>
              </w:rPr>
              <w:t xml:space="preserve">s Usual (BAU) scenario, and represents a reduction of GHG emissions of 25% compared to the 2012 emissions. To achieve its goal, Costa Rica will have to reduce 170,500 tons of GHG every year until 2030. </w:t>
            </w:r>
          </w:p>
          <w:p w14:paraId="245DDB05" w14:textId="77777777" w:rsidR="00E2142E" w:rsidRPr="00801FC2" w:rsidRDefault="00E2142E" w:rsidP="00BE00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s="Arial"/>
                <w:b/>
                <w:bCs/>
                <w:sz w:val="16"/>
                <w:szCs w:val="16"/>
              </w:rPr>
            </w:pPr>
            <w:r w:rsidRPr="00801FC2">
              <w:rPr>
                <w:rFonts w:eastAsia="Calibri" w:cs="Arial"/>
                <w:b/>
                <w:bCs/>
                <w:sz w:val="16"/>
                <w:szCs w:val="16"/>
              </w:rPr>
              <w:t>NDC (updated 2020)</w:t>
            </w:r>
          </w:p>
          <w:p w14:paraId="3FA81506" w14:textId="77777777" w:rsidR="00E2142E" w:rsidRPr="00801FC2" w:rsidRDefault="00E2142E" w:rsidP="00BE00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s="Arial"/>
                <w:sz w:val="16"/>
                <w:szCs w:val="16"/>
              </w:rPr>
            </w:pPr>
            <w:r w:rsidRPr="00801FC2">
              <w:rPr>
                <w:rFonts w:eastAsia="Calibri" w:cs="Arial"/>
                <w:sz w:val="16"/>
                <w:szCs w:val="16"/>
              </w:rPr>
              <w:t>- Costa Rica commits to an absolute maximum of net emissions by 2030 of 9.11 million tons of carbon dioxide equivalent (CO2e), including all emissions and sectors covered by the corresponding National Emissions Inventory.</w:t>
            </w:r>
          </w:p>
          <w:p w14:paraId="2E3B6896" w14:textId="77777777" w:rsidR="00E2142E" w:rsidRPr="00801FC2" w:rsidRDefault="00E2142E" w:rsidP="00BE00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s="Arial"/>
                <w:sz w:val="16"/>
                <w:szCs w:val="16"/>
              </w:rPr>
            </w:pPr>
            <w:r w:rsidRPr="00801FC2">
              <w:rPr>
                <w:rFonts w:eastAsia="Calibri" w:cs="Arial"/>
                <w:sz w:val="16"/>
                <w:szCs w:val="16"/>
              </w:rPr>
              <w:t>- Costa Rica commits to a maximum budget of net emissions in the period 2021 to 2030 of 106.53 million tons of carbon dioxide equivalent (CO2e), including all emissions and all sectors covered by the corresponding National Emissions Inventory.</w:t>
            </w:r>
          </w:p>
          <w:p w14:paraId="3828216D" w14:textId="77777777" w:rsidR="00E2142E" w:rsidRPr="00801FC2" w:rsidRDefault="00E2142E" w:rsidP="00BE00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s="Arial"/>
                <w:b/>
                <w:bCs/>
                <w:sz w:val="16"/>
                <w:szCs w:val="16"/>
              </w:rPr>
            </w:pPr>
            <w:r w:rsidRPr="00801FC2">
              <w:rPr>
                <w:rFonts w:eastAsia="Calibri" w:cs="Arial"/>
                <w:b/>
                <w:bCs/>
                <w:sz w:val="16"/>
                <w:szCs w:val="16"/>
              </w:rPr>
              <w:t>Energy Contribution:</w:t>
            </w:r>
          </w:p>
          <w:p w14:paraId="769731C1" w14:textId="77777777" w:rsidR="00E2142E" w:rsidRPr="00801FC2" w:rsidRDefault="00E2142E" w:rsidP="00BE00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s="Arial"/>
                <w:sz w:val="16"/>
                <w:szCs w:val="16"/>
              </w:rPr>
            </w:pPr>
            <w:r w:rsidRPr="00801FC2">
              <w:rPr>
                <w:rFonts w:eastAsia="Calibri" w:cs="Arial"/>
                <w:sz w:val="16"/>
                <w:szCs w:val="16"/>
              </w:rPr>
              <w:t>By 2030: Maintain the electric generation 100% renewable with a minimum necessary thermal generation. Upgrade the energy efficiency standards of end-use technologies.</w:t>
            </w:r>
          </w:p>
          <w:p w14:paraId="215CAD2E" w14:textId="77777777" w:rsidR="00E2142E" w:rsidRPr="00801FC2" w:rsidRDefault="00E2142E" w:rsidP="00BE00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s="Arial"/>
                <w:b/>
                <w:bCs/>
                <w:sz w:val="16"/>
                <w:szCs w:val="16"/>
              </w:rPr>
            </w:pPr>
          </w:p>
        </w:tc>
        <w:tc>
          <w:tcPr>
            <w:tcW w:w="2551" w:type="dxa"/>
          </w:tcPr>
          <w:p w14:paraId="7B6C7F1F" w14:textId="77777777" w:rsidR="00E2142E" w:rsidRPr="00801FC2" w:rsidRDefault="00E2142E" w:rsidP="00E2142E">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7" w:hanging="357"/>
              <w:rPr>
                <w:rFonts w:eastAsia="Calibri" w:cs="Arial"/>
                <w:sz w:val="16"/>
                <w:szCs w:val="16"/>
              </w:rPr>
            </w:pPr>
            <w:r w:rsidRPr="00801FC2">
              <w:rPr>
                <w:rFonts w:eastAsia="Calibri" w:cs="Arial"/>
                <w:sz w:val="16"/>
                <w:szCs w:val="16"/>
              </w:rPr>
              <w:t>Energy</w:t>
            </w:r>
          </w:p>
          <w:p w14:paraId="0C55B80F" w14:textId="77777777" w:rsidR="00E2142E" w:rsidRPr="00801FC2" w:rsidRDefault="00E2142E" w:rsidP="00E2142E">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7" w:hanging="357"/>
              <w:rPr>
                <w:rFonts w:eastAsia="Calibri" w:cs="Arial"/>
                <w:sz w:val="16"/>
                <w:szCs w:val="16"/>
              </w:rPr>
            </w:pPr>
            <w:r w:rsidRPr="00801FC2">
              <w:rPr>
                <w:rFonts w:eastAsia="Calibri" w:cs="Arial"/>
                <w:sz w:val="16"/>
                <w:szCs w:val="16"/>
              </w:rPr>
              <w:t>Infrastructure</w:t>
            </w:r>
          </w:p>
          <w:p w14:paraId="4F82CB39" w14:textId="77777777" w:rsidR="00E2142E" w:rsidRPr="00801FC2" w:rsidRDefault="00E2142E" w:rsidP="00E2142E">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7" w:hanging="357"/>
              <w:rPr>
                <w:rFonts w:eastAsia="Calibri" w:cs="Arial"/>
                <w:sz w:val="16"/>
                <w:szCs w:val="16"/>
              </w:rPr>
            </w:pPr>
            <w:r w:rsidRPr="00801FC2">
              <w:rPr>
                <w:rFonts w:eastAsia="Calibri" w:cs="Arial"/>
                <w:sz w:val="16"/>
                <w:szCs w:val="16"/>
              </w:rPr>
              <w:t>Agriculture, livestock, and food security</w:t>
            </w:r>
          </w:p>
          <w:p w14:paraId="67BB3740" w14:textId="77777777" w:rsidR="00E2142E" w:rsidRPr="00801FC2" w:rsidRDefault="00E2142E" w:rsidP="00E2142E">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7" w:hanging="357"/>
              <w:rPr>
                <w:rFonts w:eastAsia="Calibri" w:cs="Arial"/>
                <w:sz w:val="16"/>
                <w:szCs w:val="16"/>
              </w:rPr>
            </w:pPr>
            <w:r w:rsidRPr="00801FC2">
              <w:rPr>
                <w:rFonts w:eastAsia="Calibri" w:cs="Arial"/>
                <w:sz w:val="16"/>
                <w:szCs w:val="16"/>
              </w:rPr>
              <w:t>Forest resources, protected areas</w:t>
            </w:r>
          </w:p>
          <w:p w14:paraId="14438186" w14:textId="77777777" w:rsidR="00E2142E" w:rsidRPr="00801FC2" w:rsidRDefault="00E2142E" w:rsidP="00E2142E">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7" w:hanging="357"/>
              <w:rPr>
                <w:rFonts w:eastAsia="Calibri" w:cs="Arial"/>
                <w:sz w:val="16"/>
                <w:szCs w:val="16"/>
              </w:rPr>
            </w:pPr>
            <w:r w:rsidRPr="00801FC2">
              <w:rPr>
                <w:rFonts w:eastAsia="Calibri" w:cs="Arial"/>
                <w:sz w:val="16"/>
                <w:szCs w:val="16"/>
              </w:rPr>
              <w:t>Biodiversity</w:t>
            </w:r>
          </w:p>
          <w:p w14:paraId="7CCC9B09" w14:textId="77777777" w:rsidR="00E2142E" w:rsidRPr="00801FC2" w:rsidRDefault="00E2142E" w:rsidP="00E2142E">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7" w:hanging="357"/>
              <w:rPr>
                <w:rFonts w:eastAsia="Calibri" w:cs="Arial"/>
                <w:sz w:val="16"/>
                <w:szCs w:val="16"/>
              </w:rPr>
            </w:pPr>
            <w:r w:rsidRPr="00801FC2">
              <w:rPr>
                <w:rFonts w:eastAsia="Calibri" w:cs="Arial"/>
                <w:sz w:val="16"/>
                <w:szCs w:val="16"/>
              </w:rPr>
              <w:t>Soil protection</w:t>
            </w:r>
          </w:p>
          <w:p w14:paraId="5064B2A9" w14:textId="77777777" w:rsidR="00E2142E" w:rsidRPr="00801FC2" w:rsidRDefault="00E2142E" w:rsidP="00E2142E">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7" w:hanging="357"/>
              <w:rPr>
                <w:rFonts w:eastAsia="Calibri" w:cs="Arial"/>
                <w:sz w:val="16"/>
                <w:szCs w:val="16"/>
              </w:rPr>
            </w:pPr>
            <w:r w:rsidRPr="00801FC2">
              <w:rPr>
                <w:rFonts w:eastAsia="Calibri" w:cs="Arial"/>
                <w:sz w:val="16"/>
                <w:szCs w:val="16"/>
              </w:rPr>
              <w:t>Comprehensive Disaster Risk Reduction Management</w:t>
            </w:r>
          </w:p>
        </w:tc>
        <w:tc>
          <w:tcPr>
            <w:tcW w:w="2127" w:type="dxa"/>
          </w:tcPr>
          <w:p w14:paraId="4226EA1E" w14:textId="7178E45D" w:rsidR="00E2142E" w:rsidRPr="00801FC2" w:rsidRDefault="00E2142E" w:rsidP="00BE00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s="Arial"/>
                <w:sz w:val="16"/>
                <w:szCs w:val="16"/>
              </w:rPr>
            </w:pPr>
            <w:r w:rsidRPr="00801FC2">
              <w:rPr>
                <w:rFonts w:eastAsia="Calibri" w:cs="Arial"/>
                <w:sz w:val="16"/>
                <w:szCs w:val="16"/>
              </w:rPr>
              <w:t xml:space="preserve">The aspirational goal of this contribution is to achieve and maintain 100% renewable electricity generation by 2030. The country will maintain the necessary thermal capacity to ensure the reliability of the system, seeking to eliminate it as soon as there </w:t>
            </w:r>
            <w:r w:rsidR="0016708A" w:rsidRPr="00801FC2">
              <w:rPr>
                <w:rFonts w:eastAsia="Calibri" w:cs="Arial"/>
                <w:sz w:val="16"/>
                <w:szCs w:val="16"/>
              </w:rPr>
              <w:t>exists</w:t>
            </w:r>
            <w:r w:rsidRPr="00801FC2">
              <w:rPr>
                <w:rFonts w:eastAsia="Calibri" w:cs="Arial"/>
                <w:sz w:val="16"/>
                <w:szCs w:val="16"/>
              </w:rPr>
              <w:t xml:space="preserve"> other technically and economically viable alternatives.</w:t>
            </w:r>
          </w:p>
          <w:p w14:paraId="69F049E0" w14:textId="77777777" w:rsidR="00E2142E" w:rsidRPr="00801FC2" w:rsidRDefault="00E2142E" w:rsidP="00BE001B">
            <w:pPr>
              <w:spacing w:before="100" w:beforeAutospacing="1" w:after="100" w:afterAutospacing="1"/>
              <w:rPr>
                <w:rFonts w:eastAsia="Calibri" w:cs="Arial"/>
                <w:sz w:val="16"/>
                <w:szCs w:val="16"/>
              </w:rPr>
            </w:pPr>
          </w:p>
        </w:tc>
      </w:tr>
      <w:tr w:rsidR="00E2142E" w:rsidRPr="005A5595" w14:paraId="334F77CC" w14:textId="77777777" w:rsidTr="00BE001B">
        <w:trPr>
          <w:trHeight w:val="232"/>
        </w:trPr>
        <w:tc>
          <w:tcPr>
            <w:tcW w:w="1405" w:type="dxa"/>
          </w:tcPr>
          <w:p w14:paraId="6EA942DE" w14:textId="77777777" w:rsidR="00E2142E" w:rsidRPr="00801FC2" w:rsidRDefault="00E2142E" w:rsidP="00BE001B">
            <w:pPr>
              <w:jc w:val="center"/>
              <w:rPr>
                <w:rFonts w:eastAsia="Calibri" w:cs="Arial"/>
                <w:sz w:val="16"/>
                <w:szCs w:val="16"/>
              </w:rPr>
            </w:pPr>
            <w:r w:rsidRPr="00801FC2">
              <w:rPr>
                <w:rFonts w:eastAsia="Calibri" w:cs="Arial"/>
                <w:sz w:val="16"/>
                <w:szCs w:val="16"/>
              </w:rPr>
              <w:t>Panama</w:t>
            </w:r>
          </w:p>
          <w:p w14:paraId="6E772BAB" w14:textId="77777777" w:rsidR="00E2142E" w:rsidRPr="00801FC2" w:rsidRDefault="00E2142E" w:rsidP="00BE001B">
            <w:pPr>
              <w:jc w:val="center"/>
              <w:rPr>
                <w:rFonts w:eastAsia="Calibri" w:cs="Arial"/>
                <w:sz w:val="16"/>
                <w:szCs w:val="16"/>
              </w:rPr>
            </w:pPr>
          </w:p>
          <w:p w14:paraId="6CD3240C" w14:textId="77777777" w:rsidR="00E2142E" w:rsidRPr="00801FC2" w:rsidRDefault="00E2142E" w:rsidP="00BE001B">
            <w:pPr>
              <w:jc w:val="center"/>
              <w:rPr>
                <w:rFonts w:eastAsia="Calibri" w:cs="Arial"/>
                <w:sz w:val="16"/>
                <w:szCs w:val="16"/>
              </w:rPr>
            </w:pPr>
          </w:p>
        </w:tc>
        <w:tc>
          <w:tcPr>
            <w:tcW w:w="3410" w:type="dxa"/>
          </w:tcPr>
          <w:p w14:paraId="7B1AD3F8" w14:textId="77777777" w:rsidR="00E2142E" w:rsidRPr="00801FC2" w:rsidRDefault="00E2142E" w:rsidP="00BE00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s="Arial"/>
                <w:b/>
                <w:bCs/>
                <w:sz w:val="16"/>
                <w:szCs w:val="16"/>
              </w:rPr>
            </w:pPr>
            <w:r w:rsidRPr="00801FC2">
              <w:rPr>
                <w:rFonts w:eastAsia="Calibri" w:cs="Arial"/>
                <w:b/>
                <w:bCs/>
                <w:sz w:val="16"/>
                <w:szCs w:val="16"/>
              </w:rPr>
              <w:t>NDC (2016)</w:t>
            </w:r>
          </w:p>
          <w:p w14:paraId="4F42DBC9" w14:textId="77777777" w:rsidR="00E2142E" w:rsidRPr="00801FC2" w:rsidRDefault="00E2142E" w:rsidP="00BE00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s="Arial"/>
                <w:sz w:val="16"/>
                <w:szCs w:val="16"/>
              </w:rPr>
            </w:pPr>
            <w:r w:rsidRPr="00801FC2">
              <w:rPr>
                <w:rFonts w:eastAsia="Calibri" w:cs="Arial"/>
                <w:b/>
                <w:bCs/>
                <w:sz w:val="16"/>
                <w:szCs w:val="16"/>
              </w:rPr>
              <w:t>Enhance the use of other types of renewable energy sources:</w:t>
            </w:r>
            <w:r w:rsidRPr="00801FC2">
              <w:rPr>
                <w:rFonts w:eastAsia="Calibri" w:cs="Arial"/>
                <w:sz w:val="16"/>
                <w:szCs w:val="16"/>
              </w:rPr>
              <w:t xml:space="preserve"> By 2050, 30% of the installed capacity of the electricity matrix must come from different types of renewable energy sources</w:t>
            </w:r>
          </w:p>
          <w:p w14:paraId="52F69040" w14:textId="77777777" w:rsidR="00E2142E" w:rsidRPr="00801FC2" w:rsidRDefault="00E2142E" w:rsidP="00BE00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s="Arial"/>
                <w:b/>
                <w:bCs/>
                <w:sz w:val="16"/>
                <w:szCs w:val="16"/>
              </w:rPr>
            </w:pPr>
            <w:r w:rsidRPr="00801FC2">
              <w:rPr>
                <w:rFonts w:eastAsia="Calibri" w:cs="Arial"/>
                <w:b/>
                <w:bCs/>
                <w:sz w:val="16"/>
                <w:szCs w:val="16"/>
              </w:rPr>
              <w:t>Reforestation of degraded areas</w:t>
            </w:r>
          </w:p>
          <w:p w14:paraId="5808C61C" w14:textId="77777777" w:rsidR="00E2142E" w:rsidRPr="00801FC2" w:rsidRDefault="00E2142E" w:rsidP="00BE00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s="Arial"/>
                <w:i/>
                <w:iCs/>
                <w:sz w:val="16"/>
                <w:szCs w:val="16"/>
              </w:rPr>
            </w:pPr>
            <w:r w:rsidRPr="00801FC2">
              <w:rPr>
                <w:rFonts w:eastAsia="Calibri" w:cs="Arial"/>
                <w:i/>
                <w:iCs/>
                <w:sz w:val="16"/>
                <w:szCs w:val="16"/>
              </w:rPr>
              <w:t>Unilateral Contribution</w:t>
            </w:r>
          </w:p>
          <w:p w14:paraId="63A4F85C" w14:textId="77777777" w:rsidR="00E2142E" w:rsidRPr="00801FC2" w:rsidRDefault="00E2142E" w:rsidP="00BE00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s="Arial"/>
                <w:sz w:val="16"/>
                <w:szCs w:val="16"/>
              </w:rPr>
            </w:pPr>
            <w:r w:rsidRPr="00801FC2">
              <w:rPr>
                <w:rFonts w:eastAsia="Calibri" w:cs="Arial"/>
                <w:sz w:val="16"/>
                <w:szCs w:val="16"/>
              </w:rPr>
              <w:t xml:space="preserve">Increase in Carbon absorption capacity by 10% concerning the Reference Scenario to 2050. </w:t>
            </w:r>
            <w:r w:rsidRPr="00801FC2">
              <w:rPr>
                <w:rFonts w:eastAsia="Calibri" w:cs="Arial"/>
                <w:i/>
                <w:iCs/>
                <w:sz w:val="16"/>
                <w:szCs w:val="16"/>
              </w:rPr>
              <w:t>Supported Contribution</w:t>
            </w:r>
          </w:p>
          <w:p w14:paraId="4AD8D99B" w14:textId="77777777" w:rsidR="00E2142E" w:rsidRPr="00801FC2" w:rsidRDefault="00E2142E" w:rsidP="00BE00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s="Arial"/>
                <w:sz w:val="16"/>
                <w:szCs w:val="16"/>
              </w:rPr>
            </w:pPr>
            <w:r w:rsidRPr="00801FC2">
              <w:rPr>
                <w:rFonts w:eastAsia="Calibri" w:cs="Arial"/>
                <w:sz w:val="16"/>
                <w:szCs w:val="16"/>
              </w:rPr>
              <w:t>Increase in Carbon absorption capacity by 80% concerning the Reference Scenario to 2050</w:t>
            </w:r>
          </w:p>
          <w:p w14:paraId="7C20F6A2" w14:textId="77777777" w:rsidR="00E2142E" w:rsidRPr="00801FC2" w:rsidRDefault="00E2142E" w:rsidP="00BE00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s="Arial"/>
                <w:b/>
                <w:bCs/>
                <w:sz w:val="16"/>
                <w:szCs w:val="16"/>
              </w:rPr>
            </w:pPr>
            <w:r w:rsidRPr="00801FC2">
              <w:rPr>
                <w:rFonts w:eastAsia="Calibri" w:cs="Arial"/>
                <w:b/>
                <w:bCs/>
                <w:sz w:val="16"/>
                <w:szCs w:val="16"/>
              </w:rPr>
              <w:t>NDC (updated in 2020) *</w:t>
            </w:r>
          </w:p>
          <w:p w14:paraId="17A29133" w14:textId="77777777" w:rsidR="00E2142E" w:rsidRPr="00801FC2" w:rsidRDefault="00E2142E" w:rsidP="00BE00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s="Arial"/>
                <w:b/>
                <w:bCs/>
                <w:sz w:val="16"/>
                <w:szCs w:val="16"/>
              </w:rPr>
            </w:pPr>
            <w:r w:rsidRPr="00801FC2">
              <w:rPr>
                <w:rFonts w:eastAsia="Calibri" w:cs="Arial"/>
                <w:b/>
                <w:bCs/>
                <w:sz w:val="16"/>
                <w:szCs w:val="16"/>
              </w:rPr>
              <w:t xml:space="preserve">Energy Sector - </w:t>
            </w:r>
            <w:r w:rsidRPr="00801FC2">
              <w:rPr>
                <w:rFonts w:eastAsia="Calibri" w:cs="Arial"/>
                <w:sz w:val="16"/>
                <w:szCs w:val="16"/>
              </w:rPr>
              <w:t>By 2050, Panama will reduce total emissions from the country’s energy sector by at least 24% and by at least 11.5% by 2030, concerning the trend scenario, which represents an estimated 60 million tons of accumulated CO2 equivalent between 2022-2050 and up to 10 million tons of CO2 equivalent accumulated between 2022-2030.</w:t>
            </w:r>
          </w:p>
          <w:p w14:paraId="52A91E2E" w14:textId="77777777" w:rsidR="00E2142E" w:rsidRPr="00801FC2" w:rsidRDefault="00E2142E" w:rsidP="00BE001B">
            <w:pPr>
              <w:rPr>
                <w:rFonts w:eastAsia="Calibri" w:cs="Arial"/>
                <w:b/>
                <w:bCs/>
                <w:sz w:val="16"/>
                <w:szCs w:val="16"/>
              </w:rPr>
            </w:pPr>
            <w:r w:rsidRPr="00801FC2">
              <w:rPr>
                <w:rFonts w:eastAsia="Calibri" w:cs="Arial"/>
                <w:b/>
                <w:bCs/>
                <w:sz w:val="16"/>
                <w:szCs w:val="16"/>
              </w:rPr>
              <w:t>Land use, land-use change, and forestry</w:t>
            </w:r>
          </w:p>
          <w:p w14:paraId="3CF79D95" w14:textId="77777777" w:rsidR="00E2142E" w:rsidRPr="00801FC2" w:rsidRDefault="00E2142E" w:rsidP="00BE00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s="Arial"/>
                <w:b/>
                <w:bCs/>
                <w:sz w:val="16"/>
                <w:szCs w:val="16"/>
              </w:rPr>
            </w:pPr>
            <w:r w:rsidRPr="00801FC2">
              <w:rPr>
                <w:rFonts w:eastAsia="Calibri" w:cs="Arial"/>
                <w:sz w:val="16"/>
                <w:szCs w:val="16"/>
              </w:rPr>
              <w:t>(LULUCF sector)- Panama is committed to the forest restoration of 50,000 ha nationwide, which will contribute to the carbon absorption of approximately 2.6 million tons of CO2 eq by 2050.</w:t>
            </w:r>
          </w:p>
          <w:p w14:paraId="026532ED" w14:textId="77777777" w:rsidR="00E2142E" w:rsidRPr="00801FC2" w:rsidRDefault="00E2142E" w:rsidP="00BE00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s="Arial"/>
                <w:sz w:val="16"/>
                <w:szCs w:val="16"/>
              </w:rPr>
            </w:pPr>
          </w:p>
        </w:tc>
        <w:tc>
          <w:tcPr>
            <w:tcW w:w="2551" w:type="dxa"/>
          </w:tcPr>
          <w:p w14:paraId="7F5F60BF" w14:textId="77777777" w:rsidR="00E2142E" w:rsidRPr="00801FC2" w:rsidRDefault="00E2142E" w:rsidP="00E2142E">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7" w:hanging="357"/>
              <w:rPr>
                <w:rFonts w:eastAsia="Calibri" w:cs="Arial"/>
                <w:sz w:val="16"/>
                <w:szCs w:val="16"/>
              </w:rPr>
            </w:pPr>
            <w:r w:rsidRPr="00801FC2">
              <w:rPr>
                <w:rFonts w:eastAsia="Calibri" w:cs="Arial"/>
                <w:sz w:val="16"/>
                <w:szCs w:val="16"/>
              </w:rPr>
              <w:t>Energy,</w:t>
            </w:r>
          </w:p>
          <w:p w14:paraId="090F7781" w14:textId="77777777" w:rsidR="00E2142E" w:rsidRPr="00801FC2" w:rsidRDefault="00E2142E" w:rsidP="00E2142E">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7" w:hanging="357"/>
              <w:rPr>
                <w:rFonts w:eastAsia="Calibri" w:cs="Arial"/>
                <w:sz w:val="16"/>
                <w:szCs w:val="16"/>
              </w:rPr>
            </w:pPr>
            <w:r w:rsidRPr="00801FC2">
              <w:rPr>
                <w:rFonts w:eastAsia="Calibri" w:cs="Arial"/>
                <w:sz w:val="16"/>
                <w:szCs w:val="16"/>
              </w:rPr>
              <w:t>Forests</w:t>
            </w:r>
          </w:p>
          <w:p w14:paraId="31683A80" w14:textId="77777777" w:rsidR="00E2142E" w:rsidRPr="00801FC2" w:rsidRDefault="00E2142E" w:rsidP="00E2142E">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7" w:hanging="357"/>
              <w:rPr>
                <w:rFonts w:eastAsia="Calibri" w:cs="Arial"/>
                <w:sz w:val="16"/>
                <w:szCs w:val="16"/>
              </w:rPr>
            </w:pPr>
            <w:r w:rsidRPr="00801FC2">
              <w:rPr>
                <w:rFonts w:eastAsia="Calibri" w:cs="Arial"/>
                <w:sz w:val="16"/>
                <w:szCs w:val="16"/>
              </w:rPr>
              <w:t>Integrated Management of Hydrographic Basins,</w:t>
            </w:r>
          </w:p>
          <w:p w14:paraId="0699018B" w14:textId="77777777" w:rsidR="00E2142E" w:rsidRPr="00801FC2" w:rsidRDefault="00E2142E" w:rsidP="00E2142E">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7" w:hanging="357"/>
              <w:rPr>
                <w:rFonts w:eastAsia="Calibri" w:cs="Arial"/>
                <w:sz w:val="16"/>
                <w:szCs w:val="16"/>
              </w:rPr>
            </w:pPr>
            <w:r w:rsidRPr="00801FC2">
              <w:rPr>
                <w:rFonts w:eastAsia="Calibri" w:cs="Arial"/>
                <w:sz w:val="16"/>
                <w:szCs w:val="16"/>
              </w:rPr>
              <w:t>Marine-Coastal System,</w:t>
            </w:r>
          </w:p>
          <w:p w14:paraId="36DCD816" w14:textId="77777777" w:rsidR="00E2142E" w:rsidRPr="00801FC2" w:rsidRDefault="00E2142E" w:rsidP="00E2142E">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7" w:hanging="357"/>
              <w:rPr>
                <w:rFonts w:eastAsia="Calibri" w:cs="Arial"/>
                <w:sz w:val="16"/>
                <w:szCs w:val="16"/>
              </w:rPr>
            </w:pPr>
            <w:r w:rsidRPr="00801FC2">
              <w:rPr>
                <w:rFonts w:eastAsia="Calibri" w:cs="Arial"/>
                <w:sz w:val="16"/>
                <w:szCs w:val="16"/>
              </w:rPr>
              <w:t>Biodiversity,</w:t>
            </w:r>
          </w:p>
          <w:p w14:paraId="515A8C5F" w14:textId="77777777" w:rsidR="00E2142E" w:rsidRPr="00801FC2" w:rsidRDefault="00E2142E" w:rsidP="00E2142E">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7" w:hanging="357"/>
              <w:rPr>
                <w:rFonts w:eastAsia="Calibri" w:cs="Arial"/>
                <w:sz w:val="16"/>
                <w:szCs w:val="16"/>
              </w:rPr>
            </w:pPr>
            <w:r w:rsidRPr="00801FC2">
              <w:rPr>
                <w:rFonts w:eastAsia="Calibri" w:cs="Arial"/>
                <w:sz w:val="16"/>
                <w:szCs w:val="16"/>
              </w:rPr>
              <w:t>Sustainable Agriculture, Livestock and Aquaculture,</w:t>
            </w:r>
          </w:p>
          <w:p w14:paraId="19C80430" w14:textId="77777777" w:rsidR="00E2142E" w:rsidRPr="00801FC2" w:rsidRDefault="00E2142E" w:rsidP="00E2142E">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7" w:hanging="357"/>
              <w:rPr>
                <w:rFonts w:eastAsia="Calibri" w:cs="Arial"/>
                <w:sz w:val="16"/>
                <w:szCs w:val="16"/>
              </w:rPr>
            </w:pPr>
            <w:r w:rsidRPr="00801FC2">
              <w:rPr>
                <w:rFonts w:eastAsia="Calibri" w:cs="Arial"/>
                <w:sz w:val="16"/>
                <w:szCs w:val="16"/>
              </w:rPr>
              <w:t>Resilient Human Settlements,</w:t>
            </w:r>
          </w:p>
          <w:p w14:paraId="29555997" w14:textId="77777777" w:rsidR="00E2142E" w:rsidRPr="00801FC2" w:rsidRDefault="00E2142E" w:rsidP="00E2142E">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7" w:hanging="357"/>
              <w:rPr>
                <w:rFonts w:eastAsia="Calibri" w:cs="Arial"/>
                <w:sz w:val="16"/>
                <w:szCs w:val="16"/>
              </w:rPr>
            </w:pPr>
            <w:r w:rsidRPr="00801FC2">
              <w:rPr>
                <w:rFonts w:eastAsia="Calibri" w:cs="Arial"/>
                <w:sz w:val="16"/>
                <w:szCs w:val="16"/>
              </w:rPr>
              <w:t>Public health</w:t>
            </w:r>
          </w:p>
          <w:p w14:paraId="4A5AB984" w14:textId="77777777" w:rsidR="00E2142E" w:rsidRPr="00801FC2" w:rsidRDefault="00E2142E" w:rsidP="00E2142E">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7" w:hanging="357"/>
              <w:rPr>
                <w:rFonts w:eastAsia="Calibri" w:cs="Arial"/>
                <w:sz w:val="16"/>
                <w:szCs w:val="16"/>
              </w:rPr>
            </w:pPr>
            <w:r w:rsidRPr="00801FC2">
              <w:rPr>
                <w:rFonts w:eastAsia="Calibri" w:cs="Arial"/>
                <w:sz w:val="16"/>
                <w:szCs w:val="16"/>
              </w:rPr>
              <w:t>Sustainable Infrastructure and</w:t>
            </w:r>
          </w:p>
          <w:p w14:paraId="158BD79F" w14:textId="77777777" w:rsidR="00E2142E" w:rsidRPr="00801FC2" w:rsidRDefault="00E2142E" w:rsidP="00E2142E">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7" w:hanging="357"/>
              <w:rPr>
                <w:rFonts w:eastAsia="Calibri" w:cs="Arial"/>
                <w:sz w:val="16"/>
                <w:szCs w:val="16"/>
              </w:rPr>
            </w:pPr>
            <w:r w:rsidRPr="00801FC2">
              <w:rPr>
                <w:rFonts w:eastAsia="Calibri" w:cs="Arial"/>
                <w:sz w:val="16"/>
                <w:szCs w:val="16"/>
              </w:rPr>
              <w:t>Circular Economy,</w:t>
            </w:r>
          </w:p>
          <w:p w14:paraId="30DB99FF" w14:textId="77777777" w:rsidR="00E2142E" w:rsidRPr="00801FC2" w:rsidRDefault="00E2142E" w:rsidP="00BE001B">
            <w:pPr>
              <w:shd w:val="clear" w:color="auto" w:fill="FFFFFF"/>
              <w:rPr>
                <w:rFonts w:eastAsia="Calibri" w:cs="Arial"/>
                <w:sz w:val="16"/>
                <w:szCs w:val="16"/>
              </w:rPr>
            </w:pPr>
          </w:p>
        </w:tc>
        <w:tc>
          <w:tcPr>
            <w:tcW w:w="2127" w:type="dxa"/>
          </w:tcPr>
          <w:p w14:paraId="73AF9E0E" w14:textId="77777777" w:rsidR="00E2142E" w:rsidRPr="00801FC2" w:rsidRDefault="00E2142E" w:rsidP="00BE001B">
            <w:pPr>
              <w:spacing w:before="100" w:beforeAutospacing="1" w:after="100" w:afterAutospacing="1"/>
              <w:rPr>
                <w:rFonts w:ascii="Times New Roman" w:eastAsia="Times New Roman" w:hAnsi="Times New Roman" w:cs="Times New Roman"/>
                <w:sz w:val="16"/>
                <w:szCs w:val="16"/>
                <w:lang w:eastAsia="es-ES_tradnl"/>
              </w:rPr>
            </w:pPr>
            <w:r w:rsidRPr="00801FC2">
              <w:rPr>
                <w:rFonts w:eastAsia="Calibri" w:cs="Arial"/>
                <w:sz w:val="16"/>
                <w:szCs w:val="16"/>
              </w:rPr>
              <w:t xml:space="preserve">The country defined as an objective of mitigation in the energy sector to increase installed capacity of other energy sources renewable (solar, eolic and biomass) by 15% in 2030 and 30% in 2050. </w:t>
            </w:r>
          </w:p>
        </w:tc>
      </w:tr>
    </w:tbl>
    <w:p w14:paraId="0AB39891" w14:textId="77777777" w:rsidR="00E2142E" w:rsidRPr="00B664F6" w:rsidRDefault="00E2142E" w:rsidP="00E2142E">
      <w:pPr>
        <w:spacing w:line="240" w:lineRule="auto"/>
        <w:contextualSpacing/>
        <w:jc w:val="left"/>
        <w:rPr>
          <w:i/>
          <w:iCs/>
          <w:sz w:val="18"/>
          <w:szCs w:val="20"/>
        </w:rPr>
      </w:pPr>
      <w:r w:rsidRPr="00B664F6">
        <w:rPr>
          <w:rFonts w:eastAsia="Times New Roman" w:cs="Times New Roman"/>
          <w:i/>
          <w:iCs/>
          <w:sz w:val="16"/>
          <w:szCs w:val="16"/>
        </w:rPr>
        <w:t xml:space="preserve">*By 2020, all </w:t>
      </w:r>
      <w:r w:rsidRPr="00B664F6">
        <w:rPr>
          <w:i/>
          <w:iCs/>
          <w:sz w:val="16"/>
          <w:szCs w:val="18"/>
        </w:rPr>
        <w:t>the countries in the SICA region began</w:t>
      </w:r>
      <w:r w:rsidRPr="00B664F6">
        <w:rPr>
          <w:rFonts w:eastAsia="Times New Roman" w:cs="Times New Roman"/>
          <w:i/>
          <w:iCs/>
          <w:sz w:val="16"/>
          <w:szCs w:val="16"/>
        </w:rPr>
        <w:t xml:space="preserve"> to </w:t>
      </w:r>
      <w:r w:rsidRPr="00B664F6">
        <w:rPr>
          <w:i/>
          <w:iCs/>
          <w:sz w:val="16"/>
          <w:szCs w:val="18"/>
        </w:rPr>
        <w:t>provid</w:t>
      </w:r>
      <w:r w:rsidRPr="00B664F6">
        <w:rPr>
          <w:rFonts w:eastAsia="Times New Roman" w:cs="Times New Roman"/>
          <w:i/>
          <w:iCs/>
          <w:sz w:val="16"/>
          <w:szCs w:val="16"/>
        </w:rPr>
        <w:t>e</w:t>
      </w:r>
      <w:r w:rsidRPr="00B664F6">
        <w:rPr>
          <w:i/>
          <w:iCs/>
          <w:sz w:val="16"/>
          <w:szCs w:val="18"/>
        </w:rPr>
        <w:t xml:space="preserve"> updated commitments.</w:t>
      </w:r>
    </w:p>
    <w:p w14:paraId="2B06354A" w14:textId="77777777" w:rsidR="00801FC2" w:rsidRDefault="00801FC2" w:rsidP="00E2142E">
      <w:pPr>
        <w:jc w:val="left"/>
        <w:rPr>
          <w:b/>
          <w:bCs/>
        </w:rPr>
      </w:pPr>
    </w:p>
    <w:p w14:paraId="0E47D4FB" w14:textId="77777777" w:rsidR="00E2142E" w:rsidRPr="002F7368" w:rsidRDefault="00E2142E" w:rsidP="00E2142E"/>
    <w:p w14:paraId="01686995" w14:textId="77777777" w:rsidR="002339E7" w:rsidRPr="00472B84" w:rsidRDefault="002339E7" w:rsidP="00336136">
      <w:pPr>
        <w:spacing w:line="240" w:lineRule="auto"/>
      </w:pPr>
    </w:p>
    <w:p w14:paraId="4D88B047" w14:textId="2E2BFED9" w:rsidR="008F09B0" w:rsidRDefault="00AE434F" w:rsidP="00AE434F">
      <w:pPr>
        <w:pStyle w:val="Ttulo2"/>
      </w:pPr>
      <w:bookmarkStart w:id="38" w:name="_Toc90453982"/>
      <w:r>
        <w:t>Annex 4</w:t>
      </w:r>
      <w:r w:rsidR="00526190">
        <w:t xml:space="preserve">. </w:t>
      </w:r>
      <w:r w:rsidR="00A00C99">
        <w:t>Additional r</w:t>
      </w:r>
      <w:r w:rsidR="00477216">
        <w:t xml:space="preserve">egulatory and </w:t>
      </w:r>
      <w:r w:rsidR="00A00C99">
        <w:t>t</w:t>
      </w:r>
      <w:r w:rsidR="00477216">
        <w:t>echnical b</w:t>
      </w:r>
      <w:r w:rsidR="00526190">
        <w:t>arriers</w:t>
      </w:r>
      <w:r w:rsidR="00477216">
        <w:t xml:space="preserve"> identified for</w:t>
      </w:r>
      <w:r w:rsidR="00526190">
        <w:t xml:space="preserve"> each country</w:t>
      </w:r>
      <w:bookmarkEnd w:id="38"/>
    </w:p>
    <w:p w14:paraId="029CABF1" w14:textId="4306B67E" w:rsidR="00AE434F" w:rsidRPr="008D78F4" w:rsidRDefault="008D78F4" w:rsidP="008D78F4">
      <w:pPr>
        <w:keepNext/>
        <w:tabs>
          <w:tab w:val="left" w:pos="7200"/>
        </w:tabs>
        <w:spacing w:after="120" w:line="240" w:lineRule="auto"/>
        <w:jc w:val="left"/>
        <w:rPr>
          <w:rFonts w:eastAsia="Calibri" w:cs="Arial"/>
          <w:b/>
          <w:bCs/>
          <w:szCs w:val="24"/>
        </w:rPr>
      </w:pPr>
      <w:r w:rsidRPr="008D78F4">
        <w:rPr>
          <w:rFonts w:eastAsia="Calibri" w:cs="Arial"/>
          <w:b/>
          <w:bCs/>
          <w:szCs w:val="24"/>
        </w:rPr>
        <w:t>Guatemala</w:t>
      </w:r>
    </w:p>
    <w:tbl>
      <w:tblPr>
        <w:tblStyle w:val="Tablaconcuadrcula"/>
        <w:tblW w:w="5000" w:type="pct"/>
        <w:tblLook w:val="04A0" w:firstRow="1" w:lastRow="0" w:firstColumn="1" w:lastColumn="0" w:noHBand="0" w:noVBand="1"/>
      </w:tblPr>
      <w:tblGrid>
        <w:gridCol w:w="2799"/>
        <w:gridCol w:w="5699"/>
      </w:tblGrid>
      <w:tr w:rsidR="00AE434F" w:rsidRPr="006C6356" w14:paraId="33FDED0E" w14:textId="77777777" w:rsidTr="008001B1">
        <w:tc>
          <w:tcPr>
            <w:tcW w:w="1647" w:type="pct"/>
            <w:shd w:val="clear" w:color="auto" w:fill="4472C4"/>
          </w:tcPr>
          <w:p w14:paraId="4F7CFEA3" w14:textId="77777777" w:rsidR="00AE434F" w:rsidRPr="006C6356" w:rsidRDefault="00AE434F" w:rsidP="008001B1">
            <w:pPr>
              <w:keepNext/>
              <w:jc w:val="center"/>
              <w:rPr>
                <w:rFonts w:eastAsia="Calibri" w:cs="Arial"/>
                <w:color w:val="FFFFFF"/>
                <w:sz w:val="18"/>
                <w:szCs w:val="20"/>
              </w:rPr>
            </w:pPr>
            <w:r w:rsidRPr="006C6356">
              <w:rPr>
                <w:rFonts w:eastAsia="Calibri" w:cs="Arial"/>
                <w:color w:val="FFFFFF"/>
                <w:sz w:val="18"/>
                <w:szCs w:val="20"/>
              </w:rPr>
              <w:t>Barriers</w:t>
            </w:r>
          </w:p>
        </w:tc>
        <w:tc>
          <w:tcPr>
            <w:tcW w:w="3353" w:type="pct"/>
            <w:shd w:val="clear" w:color="auto" w:fill="4472C4"/>
          </w:tcPr>
          <w:p w14:paraId="09419501" w14:textId="706A5166" w:rsidR="00AE434F" w:rsidRPr="006C6356" w:rsidRDefault="00A00C99" w:rsidP="008001B1">
            <w:pPr>
              <w:keepNext/>
              <w:jc w:val="center"/>
              <w:rPr>
                <w:rFonts w:eastAsia="Calibri" w:cs="Arial"/>
                <w:color w:val="FFFFFF"/>
                <w:sz w:val="18"/>
                <w:szCs w:val="20"/>
              </w:rPr>
            </w:pPr>
            <w:r w:rsidRPr="006C6356">
              <w:rPr>
                <w:rFonts w:eastAsia="Calibri" w:cs="Arial"/>
                <w:color w:val="FFFFFF"/>
                <w:sz w:val="18"/>
                <w:szCs w:val="18"/>
              </w:rPr>
              <w:t>Description</w:t>
            </w:r>
          </w:p>
        </w:tc>
      </w:tr>
      <w:tr w:rsidR="00AE434F" w:rsidRPr="006C6356" w14:paraId="413C1ECD" w14:textId="77777777" w:rsidTr="008001B1">
        <w:tc>
          <w:tcPr>
            <w:tcW w:w="5000" w:type="pct"/>
            <w:gridSpan w:val="2"/>
          </w:tcPr>
          <w:p w14:paraId="2F7BF393" w14:textId="77777777" w:rsidR="00AE434F" w:rsidRPr="006C6356" w:rsidRDefault="00AE434F" w:rsidP="008001B1">
            <w:pPr>
              <w:keepNext/>
              <w:rPr>
                <w:rFonts w:eastAsia="Calibri" w:cs="Arial"/>
                <w:sz w:val="18"/>
                <w:szCs w:val="20"/>
              </w:rPr>
            </w:pPr>
            <w:r w:rsidRPr="006C6356">
              <w:rPr>
                <w:rFonts w:eastAsia="Calibri" w:cs="Arial"/>
                <w:sz w:val="18"/>
                <w:szCs w:val="20"/>
              </w:rPr>
              <w:t>Regulatory</w:t>
            </w:r>
          </w:p>
        </w:tc>
      </w:tr>
      <w:tr w:rsidR="00AE434F" w:rsidRPr="006C6356" w14:paraId="4A381AF9" w14:textId="77777777" w:rsidTr="008001B1">
        <w:tc>
          <w:tcPr>
            <w:tcW w:w="1647" w:type="pct"/>
          </w:tcPr>
          <w:p w14:paraId="3A76747E" w14:textId="77777777" w:rsidR="00AE434F" w:rsidRPr="006C6356" w:rsidRDefault="00AE434F" w:rsidP="008001B1">
            <w:pPr>
              <w:keepNext/>
              <w:rPr>
                <w:rFonts w:eastAsia="Calibri" w:cs="Arial"/>
                <w:sz w:val="18"/>
                <w:szCs w:val="20"/>
              </w:rPr>
            </w:pPr>
            <w:r w:rsidRPr="006C6356">
              <w:rPr>
                <w:rFonts w:eastAsia="Calibri" w:cs="Arial"/>
                <w:sz w:val="18"/>
                <w:szCs w:val="20"/>
              </w:rPr>
              <w:t>The indicative expansion plan of the Generation System 2020-2050</w:t>
            </w:r>
          </w:p>
        </w:tc>
        <w:tc>
          <w:tcPr>
            <w:tcW w:w="3353" w:type="pct"/>
          </w:tcPr>
          <w:p w14:paraId="6D5FCD54" w14:textId="77777777" w:rsidR="00AE434F" w:rsidRPr="006C6356" w:rsidRDefault="00AE434F" w:rsidP="008001B1">
            <w:pPr>
              <w:keepNext/>
              <w:rPr>
                <w:rFonts w:eastAsia="Calibri" w:cs="Arial"/>
                <w:sz w:val="18"/>
                <w:szCs w:val="20"/>
              </w:rPr>
            </w:pPr>
            <w:r w:rsidRPr="006C6356">
              <w:rPr>
                <w:rFonts w:eastAsia="Calibri" w:cs="Arial"/>
                <w:sz w:val="18"/>
                <w:szCs w:val="20"/>
              </w:rPr>
              <w:t>Little used geothermal resource, there is still availability of 966 MW.</w:t>
            </w:r>
          </w:p>
          <w:p w14:paraId="0F54FB44" w14:textId="77777777" w:rsidR="00AE434F" w:rsidRPr="006C6356" w:rsidRDefault="00AE434F" w:rsidP="008001B1">
            <w:pPr>
              <w:keepNext/>
              <w:rPr>
                <w:rFonts w:eastAsia="Calibri" w:cs="Arial"/>
                <w:sz w:val="18"/>
                <w:szCs w:val="20"/>
              </w:rPr>
            </w:pPr>
            <w:r w:rsidRPr="006C6356">
              <w:rPr>
                <w:rFonts w:eastAsia="Calibri" w:cs="Arial"/>
                <w:sz w:val="18"/>
                <w:szCs w:val="20"/>
              </w:rPr>
              <w:t>Incentives are required to trigger additional exploration activities and definition of usable potentials.</w:t>
            </w:r>
          </w:p>
        </w:tc>
      </w:tr>
      <w:tr w:rsidR="00AE434F" w:rsidRPr="006C6356" w14:paraId="622AACDC" w14:textId="77777777" w:rsidTr="008001B1">
        <w:tc>
          <w:tcPr>
            <w:tcW w:w="1647" w:type="pct"/>
          </w:tcPr>
          <w:p w14:paraId="656F8FEE" w14:textId="77777777" w:rsidR="00AE434F" w:rsidRPr="006C6356" w:rsidRDefault="00AE434F" w:rsidP="008001B1">
            <w:pPr>
              <w:keepNext/>
              <w:ind w:left="720" w:hanging="720"/>
              <w:rPr>
                <w:rFonts w:eastAsia="Calibri" w:cs="Arial"/>
                <w:sz w:val="18"/>
                <w:szCs w:val="20"/>
              </w:rPr>
            </w:pPr>
            <w:r w:rsidRPr="006C6356">
              <w:rPr>
                <w:rFonts w:eastAsia="Calibri" w:cs="Arial"/>
                <w:sz w:val="18"/>
                <w:szCs w:val="20"/>
              </w:rPr>
              <w:t>Energy Policy 2019 -2050</w:t>
            </w:r>
          </w:p>
          <w:p w14:paraId="03F196A0" w14:textId="77777777" w:rsidR="00AE434F" w:rsidRPr="006C6356" w:rsidRDefault="00AE434F" w:rsidP="008001B1">
            <w:pPr>
              <w:keepNext/>
              <w:ind w:left="720" w:hanging="720"/>
              <w:rPr>
                <w:rFonts w:eastAsia="Calibri" w:cs="Arial"/>
                <w:sz w:val="18"/>
                <w:szCs w:val="20"/>
              </w:rPr>
            </w:pPr>
          </w:p>
        </w:tc>
        <w:tc>
          <w:tcPr>
            <w:tcW w:w="3353" w:type="pct"/>
          </w:tcPr>
          <w:p w14:paraId="662C2096" w14:textId="77777777" w:rsidR="00AE434F" w:rsidRPr="006C6356" w:rsidRDefault="00AE434F" w:rsidP="008001B1">
            <w:pPr>
              <w:keepNext/>
              <w:rPr>
                <w:rFonts w:eastAsia="Calibri" w:cs="Arial"/>
                <w:sz w:val="18"/>
                <w:szCs w:val="20"/>
              </w:rPr>
            </w:pPr>
            <w:r w:rsidRPr="006C6356">
              <w:rPr>
                <w:rFonts w:eastAsia="Calibri" w:cs="Arial"/>
                <w:sz w:val="18"/>
                <w:szCs w:val="20"/>
              </w:rPr>
              <w:t>Lack of promotion and mechanisms for the self-sufficiency of electricity using renewable energies in commerce and industries.</w:t>
            </w:r>
          </w:p>
          <w:p w14:paraId="45EAF7A1" w14:textId="77777777" w:rsidR="00AE434F" w:rsidRPr="006C6356" w:rsidRDefault="00AE434F" w:rsidP="008001B1">
            <w:pPr>
              <w:keepNext/>
              <w:rPr>
                <w:rFonts w:eastAsia="Calibri" w:cs="Arial"/>
                <w:sz w:val="18"/>
                <w:szCs w:val="20"/>
              </w:rPr>
            </w:pPr>
            <w:r w:rsidRPr="006C6356">
              <w:rPr>
                <w:rFonts w:eastAsia="Calibri" w:cs="Arial"/>
                <w:sz w:val="18"/>
                <w:szCs w:val="20"/>
              </w:rPr>
              <w:t>Develop activities, business models, additional incentives to promote self-sufficiency.</w:t>
            </w:r>
          </w:p>
        </w:tc>
      </w:tr>
      <w:tr w:rsidR="00AE434F" w:rsidRPr="006C6356" w14:paraId="3BA81394" w14:textId="77777777" w:rsidTr="008001B1">
        <w:tc>
          <w:tcPr>
            <w:tcW w:w="1647" w:type="pct"/>
          </w:tcPr>
          <w:p w14:paraId="1A3657CE" w14:textId="77777777" w:rsidR="00AE434F" w:rsidRPr="006C6356" w:rsidRDefault="00AE434F" w:rsidP="008001B1">
            <w:pPr>
              <w:keepNext/>
              <w:ind w:left="30" w:hanging="11"/>
              <w:rPr>
                <w:rFonts w:eastAsia="Calibri" w:cs="Arial"/>
                <w:sz w:val="18"/>
                <w:szCs w:val="20"/>
              </w:rPr>
            </w:pPr>
            <w:r w:rsidRPr="006C6356">
              <w:rPr>
                <w:rFonts w:eastAsia="Calibri" w:cs="Arial"/>
                <w:sz w:val="18"/>
                <w:szCs w:val="20"/>
              </w:rPr>
              <w:t>The technical standard of distributed generation. Art. 40</w:t>
            </w:r>
          </w:p>
        </w:tc>
        <w:tc>
          <w:tcPr>
            <w:tcW w:w="3353" w:type="pct"/>
          </w:tcPr>
          <w:p w14:paraId="31D3322F" w14:textId="27E0DE78" w:rsidR="00AE434F" w:rsidRPr="006C6356" w:rsidRDefault="00AE434F" w:rsidP="008001B1">
            <w:pPr>
              <w:keepNext/>
              <w:rPr>
                <w:rFonts w:eastAsia="Calibri" w:cs="Arial"/>
                <w:sz w:val="18"/>
                <w:szCs w:val="20"/>
              </w:rPr>
            </w:pPr>
            <w:r w:rsidRPr="0016708A">
              <w:rPr>
                <w:rFonts w:eastAsia="Calibri" w:cs="Arial"/>
                <w:sz w:val="18"/>
                <w:szCs w:val="20"/>
              </w:rPr>
              <w:t>The end-user</w:t>
            </w:r>
            <w:r w:rsidR="0016708A">
              <w:rPr>
                <w:rFonts w:eastAsia="Calibri" w:cs="Arial"/>
                <w:sz w:val="18"/>
                <w:szCs w:val="20"/>
              </w:rPr>
              <w:t>’</w:t>
            </w:r>
            <w:r w:rsidRPr="0016708A">
              <w:rPr>
                <w:rFonts w:eastAsia="Calibri" w:cs="Arial"/>
                <w:sz w:val="18"/>
                <w:szCs w:val="20"/>
              </w:rPr>
              <w:t>s</w:t>
            </w:r>
            <w:r w:rsidRPr="006C6356">
              <w:rPr>
                <w:rFonts w:eastAsia="Calibri" w:cs="Arial"/>
                <w:sz w:val="18"/>
                <w:szCs w:val="20"/>
              </w:rPr>
              <w:t xml:space="preserve"> </w:t>
            </w:r>
            <w:r>
              <w:rPr>
                <w:rFonts w:eastAsia="Calibri" w:cs="Arial"/>
                <w:sz w:val="18"/>
                <w:szCs w:val="20"/>
              </w:rPr>
              <w:t>Self-</w:t>
            </w:r>
            <w:r w:rsidRPr="006C6356">
              <w:rPr>
                <w:rFonts w:eastAsia="Calibri" w:cs="Arial"/>
                <w:sz w:val="18"/>
                <w:szCs w:val="20"/>
              </w:rPr>
              <w:t>producers with Surplus Energy will not receive any payment for energy power injected into the Distribution System.</w:t>
            </w:r>
          </w:p>
          <w:p w14:paraId="0E38FF55" w14:textId="77777777" w:rsidR="00AE434F" w:rsidRPr="006C6356" w:rsidRDefault="00AE434F" w:rsidP="008001B1">
            <w:pPr>
              <w:keepNext/>
              <w:rPr>
                <w:rFonts w:eastAsia="Calibri" w:cs="Arial"/>
                <w:sz w:val="18"/>
                <w:szCs w:val="20"/>
              </w:rPr>
            </w:pPr>
            <w:r w:rsidRPr="006C6356">
              <w:rPr>
                <w:rFonts w:eastAsia="Calibri" w:cs="Arial"/>
                <w:sz w:val="18"/>
                <w:szCs w:val="20"/>
              </w:rPr>
              <w:t>Create business models to stimulate this potential market.</w:t>
            </w:r>
          </w:p>
        </w:tc>
      </w:tr>
      <w:tr w:rsidR="00AE434F" w:rsidRPr="006C6356" w14:paraId="45CE2BFF" w14:textId="77777777" w:rsidTr="008001B1">
        <w:tc>
          <w:tcPr>
            <w:tcW w:w="5000" w:type="pct"/>
            <w:gridSpan w:val="2"/>
          </w:tcPr>
          <w:p w14:paraId="3A03FB58" w14:textId="77777777" w:rsidR="00AE434F" w:rsidRPr="006C6356" w:rsidRDefault="00AE434F" w:rsidP="008001B1">
            <w:pPr>
              <w:keepNext/>
              <w:rPr>
                <w:rFonts w:eastAsia="Calibri" w:cs="Arial"/>
                <w:sz w:val="18"/>
                <w:szCs w:val="20"/>
              </w:rPr>
            </w:pPr>
            <w:r w:rsidRPr="006C6356">
              <w:rPr>
                <w:rFonts w:eastAsia="Calibri" w:cs="Arial"/>
                <w:sz w:val="18"/>
                <w:szCs w:val="20"/>
              </w:rPr>
              <w:t>Technical</w:t>
            </w:r>
          </w:p>
        </w:tc>
      </w:tr>
      <w:tr w:rsidR="00AE434F" w:rsidRPr="006C6356" w14:paraId="127C1C99" w14:textId="77777777" w:rsidTr="008001B1">
        <w:tc>
          <w:tcPr>
            <w:tcW w:w="1647" w:type="pct"/>
          </w:tcPr>
          <w:p w14:paraId="117AA4FD" w14:textId="77777777" w:rsidR="00AE434F" w:rsidRPr="006C6356" w:rsidRDefault="00AE434F" w:rsidP="008001B1">
            <w:pPr>
              <w:keepNext/>
              <w:rPr>
                <w:rFonts w:eastAsia="Calibri" w:cs="Arial"/>
                <w:sz w:val="18"/>
                <w:szCs w:val="20"/>
              </w:rPr>
            </w:pPr>
            <w:r w:rsidRPr="006C6356">
              <w:rPr>
                <w:rFonts w:eastAsia="Calibri" w:cs="Arial"/>
                <w:sz w:val="18"/>
                <w:szCs w:val="20"/>
              </w:rPr>
              <w:t>The indicative expansion plan of the Generation System 2020-2050</w:t>
            </w:r>
          </w:p>
        </w:tc>
        <w:tc>
          <w:tcPr>
            <w:tcW w:w="3353" w:type="pct"/>
          </w:tcPr>
          <w:p w14:paraId="29183F19" w14:textId="77777777" w:rsidR="00AE434F" w:rsidRPr="0016708A" w:rsidRDefault="00AE434F" w:rsidP="008001B1">
            <w:pPr>
              <w:keepNext/>
              <w:rPr>
                <w:rFonts w:eastAsia="Calibri" w:cs="Arial"/>
                <w:sz w:val="18"/>
                <w:szCs w:val="20"/>
              </w:rPr>
            </w:pPr>
            <w:r w:rsidRPr="0016708A">
              <w:rPr>
                <w:rFonts w:eastAsia="Calibri" w:cs="Arial"/>
                <w:sz w:val="18"/>
                <w:szCs w:val="20"/>
              </w:rPr>
              <w:t>Little used geothermal resource, there is still availability of 966 MW.</w:t>
            </w:r>
          </w:p>
          <w:p w14:paraId="22397CF9" w14:textId="78C579E4" w:rsidR="00AE434F" w:rsidRPr="0016708A" w:rsidRDefault="00AE434F" w:rsidP="008001B1">
            <w:pPr>
              <w:keepNext/>
              <w:rPr>
                <w:rFonts w:eastAsia="Calibri" w:cs="Arial"/>
                <w:sz w:val="18"/>
                <w:szCs w:val="20"/>
              </w:rPr>
            </w:pPr>
            <w:r w:rsidRPr="0016708A">
              <w:rPr>
                <w:rFonts w:eastAsia="Calibri" w:cs="Arial"/>
                <w:sz w:val="18"/>
                <w:szCs w:val="20"/>
              </w:rPr>
              <w:t xml:space="preserve">Additional services are required to explore and define technologies that take advantage of the potentials that </w:t>
            </w:r>
            <w:r w:rsidR="00634948" w:rsidRPr="0016708A">
              <w:rPr>
                <w:rFonts w:eastAsia="Calibri" w:cs="Arial"/>
                <w:sz w:val="18"/>
                <w:szCs w:val="20"/>
              </w:rPr>
              <w:t>is</w:t>
            </w:r>
            <w:r w:rsidRPr="0016708A">
              <w:rPr>
                <w:rFonts w:eastAsia="Calibri" w:cs="Arial"/>
                <w:sz w:val="18"/>
                <w:szCs w:val="20"/>
              </w:rPr>
              <w:t xml:space="preserve"> found.</w:t>
            </w:r>
          </w:p>
        </w:tc>
      </w:tr>
      <w:tr w:rsidR="00AE434F" w:rsidRPr="006C6356" w14:paraId="64DE6474" w14:textId="77777777" w:rsidTr="008001B1">
        <w:tc>
          <w:tcPr>
            <w:tcW w:w="1647" w:type="pct"/>
          </w:tcPr>
          <w:p w14:paraId="3E61DFA4" w14:textId="77777777" w:rsidR="00AE434F" w:rsidRPr="006C6356" w:rsidRDefault="00AE434F" w:rsidP="008001B1">
            <w:pPr>
              <w:keepNext/>
              <w:ind w:left="720" w:hanging="720"/>
              <w:rPr>
                <w:rFonts w:eastAsia="Calibri" w:cs="Arial"/>
                <w:sz w:val="18"/>
                <w:szCs w:val="20"/>
              </w:rPr>
            </w:pPr>
            <w:r w:rsidRPr="006C6356">
              <w:rPr>
                <w:rFonts w:eastAsia="Calibri" w:cs="Arial"/>
                <w:sz w:val="18"/>
                <w:szCs w:val="20"/>
              </w:rPr>
              <w:t>Energy Policy 2019 -2050</w:t>
            </w:r>
          </w:p>
          <w:p w14:paraId="4BCD6A0C" w14:textId="77777777" w:rsidR="00AE434F" w:rsidRPr="006C6356" w:rsidRDefault="00AE434F" w:rsidP="008001B1">
            <w:pPr>
              <w:keepNext/>
              <w:rPr>
                <w:rFonts w:eastAsia="Calibri" w:cs="Arial"/>
                <w:sz w:val="18"/>
                <w:szCs w:val="20"/>
              </w:rPr>
            </w:pPr>
          </w:p>
        </w:tc>
        <w:tc>
          <w:tcPr>
            <w:tcW w:w="3353" w:type="pct"/>
          </w:tcPr>
          <w:p w14:paraId="226A358A" w14:textId="77777777" w:rsidR="00AE434F" w:rsidRPr="0016708A" w:rsidRDefault="00AE434F" w:rsidP="008001B1">
            <w:pPr>
              <w:keepNext/>
              <w:rPr>
                <w:rFonts w:eastAsia="Calibri" w:cs="Arial"/>
                <w:sz w:val="18"/>
                <w:szCs w:val="20"/>
              </w:rPr>
            </w:pPr>
            <w:r w:rsidRPr="0016708A">
              <w:rPr>
                <w:rFonts w:eastAsia="Calibri" w:cs="Arial"/>
                <w:sz w:val="18"/>
                <w:szCs w:val="20"/>
              </w:rPr>
              <w:t>Promote electricity self-sufficiency through renewable resources in industry and commerce.</w:t>
            </w:r>
          </w:p>
          <w:p w14:paraId="5F94A72D" w14:textId="77777777" w:rsidR="00AE434F" w:rsidRPr="0016708A" w:rsidRDefault="00AE434F" w:rsidP="008001B1">
            <w:pPr>
              <w:keepNext/>
              <w:rPr>
                <w:rFonts w:eastAsia="Calibri" w:cs="Arial"/>
                <w:sz w:val="18"/>
                <w:szCs w:val="20"/>
              </w:rPr>
            </w:pPr>
            <w:r w:rsidRPr="0016708A">
              <w:rPr>
                <w:rFonts w:eastAsia="Calibri" w:cs="Arial"/>
                <w:sz w:val="18"/>
                <w:szCs w:val="20"/>
              </w:rPr>
              <w:t>Develop additional offers of services and technologies to supply the potential market in this sector while considering the residential sector.</w:t>
            </w:r>
          </w:p>
        </w:tc>
      </w:tr>
      <w:tr w:rsidR="00AE434F" w:rsidRPr="006C6356" w14:paraId="647372E6" w14:textId="77777777" w:rsidTr="008001B1">
        <w:tc>
          <w:tcPr>
            <w:tcW w:w="1647" w:type="pct"/>
          </w:tcPr>
          <w:p w14:paraId="42C0A0B0" w14:textId="77777777" w:rsidR="00AE434F" w:rsidRPr="006C6356" w:rsidRDefault="00AE434F" w:rsidP="008001B1">
            <w:pPr>
              <w:keepNext/>
              <w:rPr>
                <w:rFonts w:eastAsia="Calibri" w:cs="Arial"/>
                <w:sz w:val="18"/>
                <w:szCs w:val="20"/>
              </w:rPr>
            </w:pPr>
            <w:r w:rsidRPr="006C6356">
              <w:rPr>
                <w:rFonts w:eastAsia="Calibri" w:cs="Arial"/>
                <w:sz w:val="18"/>
                <w:szCs w:val="20"/>
              </w:rPr>
              <w:t>Technical standard for renewable distributed generation and Self-producing users with surplus energy. CNEE</w:t>
            </w:r>
          </w:p>
        </w:tc>
        <w:tc>
          <w:tcPr>
            <w:tcW w:w="3353" w:type="pct"/>
          </w:tcPr>
          <w:p w14:paraId="72E16503" w14:textId="77777777" w:rsidR="00AE434F" w:rsidRPr="006C6356" w:rsidRDefault="00AE434F" w:rsidP="008001B1">
            <w:pPr>
              <w:keepNext/>
              <w:rPr>
                <w:rFonts w:eastAsia="Calibri" w:cs="Arial"/>
                <w:sz w:val="18"/>
                <w:szCs w:val="20"/>
              </w:rPr>
            </w:pPr>
            <w:r w:rsidRPr="006C6356">
              <w:rPr>
                <w:rFonts w:eastAsia="Calibri" w:cs="Arial"/>
                <w:sz w:val="18"/>
                <w:szCs w:val="20"/>
              </w:rPr>
              <w:t>The standard considers defined project capacities: 50kW - 5 MW.</w:t>
            </w:r>
          </w:p>
          <w:p w14:paraId="4BED2591" w14:textId="77777777" w:rsidR="00AE434F" w:rsidRPr="006C6356" w:rsidRDefault="00AE434F" w:rsidP="008001B1">
            <w:pPr>
              <w:keepNext/>
              <w:rPr>
                <w:rFonts w:eastAsia="Calibri" w:cs="Arial"/>
                <w:sz w:val="18"/>
                <w:szCs w:val="20"/>
              </w:rPr>
            </w:pPr>
            <w:r w:rsidRPr="006C6356">
              <w:rPr>
                <w:rFonts w:eastAsia="Calibri" w:cs="Arial"/>
                <w:sz w:val="18"/>
                <w:szCs w:val="20"/>
              </w:rPr>
              <w:t>It is not clear if there are experiences of distributed generation in consumer sectors.</w:t>
            </w:r>
          </w:p>
          <w:p w14:paraId="63C700B8" w14:textId="77777777" w:rsidR="00AE434F" w:rsidRPr="006C6356" w:rsidRDefault="00AE434F" w:rsidP="008001B1">
            <w:pPr>
              <w:keepNext/>
              <w:rPr>
                <w:rFonts w:eastAsia="Calibri" w:cs="Arial"/>
                <w:sz w:val="18"/>
                <w:szCs w:val="20"/>
              </w:rPr>
            </w:pPr>
            <w:r w:rsidRPr="006C6356">
              <w:rPr>
                <w:rFonts w:eastAsia="Calibri" w:cs="Arial"/>
                <w:sz w:val="18"/>
                <w:szCs w:val="20"/>
              </w:rPr>
              <w:t>Develop projects in the residential, commercial, and industrial sectors connected to the distribution grid.</w:t>
            </w:r>
          </w:p>
        </w:tc>
      </w:tr>
      <w:tr w:rsidR="00AE434F" w:rsidRPr="006C6356" w14:paraId="0ED04633" w14:textId="77777777" w:rsidTr="008001B1">
        <w:tc>
          <w:tcPr>
            <w:tcW w:w="1647" w:type="pct"/>
          </w:tcPr>
          <w:p w14:paraId="3C0BDC83" w14:textId="77777777" w:rsidR="00AE434F" w:rsidRPr="006C6356" w:rsidRDefault="00AE434F" w:rsidP="008001B1">
            <w:pPr>
              <w:keepNext/>
              <w:rPr>
                <w:rFonts w:eastAsia="Calibri" w:cs="Arial"/>
                <w:sz w:val="18"/>
                <w:szCs w:val="20"/>
              </w:rPr>
            </w:pPr>
            <w:r w:rsidRPr="006C6356">
              <w:rPr>
                <w:rFonts w:eastAsia="Calibri" w:cs="Arial"/>
                <w:sz w:val="18"/>
                <w:szCs w:val="20"/>
              </w:rPr>
              <w:t>Biomass</w:t>
            </w:r>
          </w:p>
        </w:tc>
        <w:tc>
          <w:tcPr>
            <w:tcW w:w="3353" w:type="pct"/>
          </w:tcPr>
          <w:p w14:paraId="2E176A34" w14:textId="77777777" w:rsidR="00AE434F" w:rsidRPr="006C6356" w:rsidRDefault="00AE434F" w:rsidP="008001B1">
            <w:pPr>
              <w:keepNext/>
              <w:rPr>
                <w:rFonts w:eastAsia="Calibri" w:cs="Arial"/>
                <w:sz w:val="18"/>
                <w:szCs w:val="20"/>
              </w:rPr>
            </w:pPr>
            <w:r w:rsidRPr="006C6356">
              <w:rPr>
                <w:rFonts w:eastAsia="Calibri" w:cs="Arial"/>
                <w:sz w:val="18"/>
                <w:szCs w:val="20"/>
              </w:rPr>
              <w:t>It is no clear the degree of efficiency and technological advance of the Sugar mills; they are the primary users.</w:t>
            </w:r>
          </w:p>
          <w:p w14:paraId="535213D9" w14:textId="77777777" w:rsidR="00AE434F" w:rsidRPr="006C6356" w:rsidRDefault="00AE434F" w:rsidP="008001B1">
            <w:pPr>
              <w:keepNext/>
              <w:rPr>
                <w:rFonts w:eastAsia="Calibri" w:cs="Arial"/>
                <w:sz w:val="18"/>
                <w:szCs w:val="20"/>
              </w:rPr>
            </w:pPr>
            <w:r w:rsidRPr="006C6356">
              <w:rPr>
                <w:rFonts w:eastAsia="Calibri" w:cs="Arial"/>
                <w:sz w:val="18"/>
                <w:szCs w:val="20"/>
              </w:rPr>
              <w:t>Carry out current technological studies on sugar mills to identify areas of opportunity.</w:t>
            </w:r>
          </w:p>
        </w:tc>
      </w:tr>
    </w:tbl>
    <w:p w14:paraId="6721C840" w14:textId="77777777" w:rsidR="00AE434F" w:rsidRPr="008D78F4" w:rsidRDefault="00AE434F" w:rsidP="00AE434F">
      <w:pPr>
        <w:keepNext/>
        <w:spacing w:line="240" w:lineRule="auto"/>
        <w:rPr>
          <w:rFonts w:eastAsia="Calibri" w:cs="Arial"/>
          <w:sz w:val="16"/>
          <w:szCs w:val="16"/>
        </w:rPr>
      </w:pPr>
      <w:r w:rsidRPr="008D78F4">
        <w:rPr>
          <w:rFonts w:eastAsia="Calibri" w:cs="Arial"/>
          <w:sz w:val="16"/>
          <w:szCs w:val="16"/>
        </w:rPr>
        <w:t xml:space="preserve">Sources: Ministry of Energy and Mines (MEM, Spanish acronym) &lt; </w:t>
      </w:r>
      <w:hyperlink r:id="rId57" w:history="1">
        <w:r w:rsidRPr="008D78F4">
          <w:rPr>
            <w:rFonts w:eastAsia="Calibri" w:cs="Arial"/>
            <w:color w:val="0563C1"/>
            <w:sz w:val="16"/>
            <w:szCs w:val="16"/>
            <w:u w:val="single"/>
          </w:rPr>
          <w:t>https://mem.gob.gt/</w:t>
        </w:r>
      </w:hyperlink>
      <w:r w:rsidRPr="008D78F4">
        <w:rPr>
          <w:rFonts w:eastAsia="Calibri" w:cs="Arial"/>
          <w:sz w:val="16"/>
          <w:szCs w:val="16"/>
        </w:rPr>
        <w:t xml:space="preserve"> &gt;; National Electric Power Commission (CNEE, Spanish acronym)  &lt; </w:t>
      </w:r>
      <w:hyperlink r:id="rId58" w:history="1">
        <w:r w:rsidRPr="008D78F4">
          <w:rPr>
            <w:rFonts w:eastAsia="Calibri" w:cs="Arial"/>
            <w:color w:val="0563C1"/>
            <w:sz w:val="16"/>
            <w:szCs w:val="16"/>
            <w:u w:val="single"/>
          </w:rPr>
          <w:t>https://www.cnee.gob.gt/wp/</w:t>
        </w:r>
      </w:hyperlink>
      <w:r w:rsidRPr="008D78F4">
        <w:rPr>
          <w:rFonts w:eastAsia="Calibri" w:cs="Arial"/>
          <w:sz w:val="16"/>
          <w:szCs w:val="16"/>
        </w:rPr>
        <w:t xml:space="preserve"> &gt;; Wholesale Market Administrator &lt; </w:t>
      </w:r>
      <w:hyperlink r:id="rId59" w:history="1">
        <w:r w:rsidRPr="008D78F4">
          <w:rPr>
            <w:rFonts w:eastAsia="Calibri" w:cs="Arial"/>
            <w:color w:val="0563C1"/>
            <w:sz w:val="16"/>
            <w:szCs w:val="16"/>
            <w:u w:val="single"/>
          </w:rPr>
          <w:t>https://www.amm.org.gt/portal/</w:t>
        </w:r>
      </w:hyperlink>
      <w:r w:rsidRPr="008D78F4">
        <w:rPr>
          <w:rFonts w:eastAsia="Calibri" w:cs="Arial"/>
          <w:sz w:val="16"/>
          <w:szCs w:val="16"/>
        </w:rPr>
        <w:t xml:space="preserve"> &gt;.</w:t>
      </w:r>
    </w:p>
    <w:p w14:paraId="160C2229" w14:textId="118AC40E" w:rsidR="00AE434F" w:rsidRDefault="00AE434F" w:rsidP="00AE434F">
      <w:pPr>
        <w:spacing w:line="240" w:lineRule="auto"/>
        <w:rPr>
          <w:rFonts w:eastAsia="Calibri" w:cs="Arial"/>
        </w:rPr>
      </w:pPr>
    </w:p>
    <w:p w14:paraId="6A872960" w14:textId="62F54495" w:rsidR="00AE434F" w:rsidRPr="008D78F4" w:rsidRDefault="008D78F4" w:rsidP="008D78F4">
      <w:pPr>
        <w:keepNext/>
        <w:tabs>
          <w:tab w:val="left" w:pos="7200"/>
        </w:tabs>
        <w:spacing w:after="120" w:line="240" w:lineRule="auto"/>
        <w:jc w:val="left"/>
        <w:rPr>
          <w:rFonts w:eastAsia="Calibri" w:cs="Arial"/>
          <w:b/>
          <w:bCs/>
          <w:szCs w:val="24"/>
        </w:rPr>
      </w:pPr>
      <w:r w:rsidRPr="008D78F4">
        <w:rPr>
          <w:rFonts w:eastAsia="Calibri" w:cs="Arial"/>
          <w:b/>
          <w:bCs/>
          <w:szCs w:val="24"/>
        </w:rPr>
        <w:t>Honduras</w:t>
      </w:r>
    </w:p>
    <w:tbl>
      <w:tblPr>
        <w:tblStyle w:val="Tablaconcuadrcula"/>
        <w:tblW w:w="5000" w:type="pct"/>
        <w:tblLook w:val="04A0" w:firstRow="1" w:lastRow="0" w:firstColumn="1" w:lastColumn="0" w:noHBand="0" w:noVBand="1"/>
      </w:tblPr>
      <w:tblGrid>
        <w:gridCol w:w="2799"/>
        <w:gridCol w:w="5699"/>
      </w:tblGrid>
      <w:tr w:rsidR="00AC66FC" w:rsidRPr="006C6356" w14:paraId="374D6F11" w14:textId="77777777" w:rsidTr="00AC66FC">
        <w:tc>
          <w:tcPr>
            <w:tcW w:w="1647" w:type="pct"/>
            <w:shd w:val="clear" w:color="auto" w:fill="4472C4"/>
          </w:tcPr>
          <w:p w14:paraId="0AE9CD7B" w14:textId="77777777" w:rsidR="00AC66FC" w:rsidRPr="006C6356" w:rsidRDefault="00AC66FC" w:rsidP="00B526D8">
            <w:pPr>
              <w:keepNext/>
              <w:jc w:val="center"/>
              <w:rPr>
                <w:rFonts w:eastAsia="Calibri" w:cs="Arial"/>
                <w:color w:val="FFFFFF"/>
                <w:sz w:val="18"/>
                <w:szCs w:val="18"/>
              </w:rPr>
            </w:pPr>
            <w:r w:rsidRPr="006C6356">
              <w:rPr>
                <w:rFonts w:eastAsia="Calibri" w:cs="Arial"/>
                <w:color w:val="FFFFFF"/>
                <w:sz w:val="18"/>
                <w:szCs w:val="18"/>
              </w:rPr>
              <w:t>Barriers</w:t>
            </w:r>
          </w:p>
        </w:tc>
        <w:tc>
          <w:tcPr>
            <w:tcW w:w="3353" w:type="pct"/>
            <w:shd w:val="clear" w:color="auto" w:fill="4472C4"/>
          </w:tcPr>
          <w:p w14:paraId="467CA832" w14:textId="77777777" w:rsidR="00AC66FC" w:rsidRPr="006C6356" w:rsidRDefault="00AC66FC" w:rsidP="00B526D8">
            <w:pPr>
              <w:keepNext/>
              <w:jc w:val="center"/>
              <w:rPr>
                <w:rFonts w:eastAsia="Calibri" w:cs="Arial"/>
                <w:color w:val="FFFFFF"/>
                <w:sz w:val="18"/>
                <w:szCs w:val="18"/>
              </w:rPr>
            </w:pPr>
            <w:r w:rsidRPr="006C6356">
              <w:rPr>
                <w:rFonts w:eastAsia="Calibri" w:cs="Arial"/>
                <w:color w:val="FFFFFF"/>
                <w:sz w:val="18"/>
                <w:szCs w:val="18"/>
              </w:rPr>
              <w:t>Description</w:t>
            </w:r>
          </w:p>
        </w:tc>
      </w:tr>
      <w:tr w:rsidR="00AC66FC" w:rsidRPr="006C6356" w14:paraId="1C7DCEAF" w14:textId="77777777" w:rsidTr="00AC66FC">
        <w:tc>
          <w:tcPr>
            <w:tcW w:w="5000" w:type="pct"/>
            <w:gridSpan w:val="2"/>
          </w:tcPr>
          <w:p w14:paraId="30AA9E0B" w14:textId="77777777" w:rsidR="00AC66FC" w:rsidRPr="006C6356" w:rsidRDefault="00AC66FC" w:rsidP="00B526D8">
            <w:pPr>
              <w:keepNext/>
              <w:rPr>
                <w:rFonts w:eastAsia="Calibri" w:cs="Arial"/>
                <w:sz w:val="18"/>
                <w:szCs w:val="18"/>
              </w:rPr>
            </w:pPr>
            <w:r w:rsidRPr="006C6356">
              <w:rPr>
                <w:rFonts w:eastAsia="Calibri" w:cs="Arial"/>
                <w:sz w:val="18"/>
                <w:szCs w:val="18"/>
              </w:rPr>
              <w:t>Regulatory</w:t>
            </w:r>
          </w:p>
        </w:tc>
      </w:tr>
      <w:tr w:rsidR="00AC66FC" w:rsidRPr="003E2D0B" w14:paraId="5CB82208" w14:textId="77777777" w:rsidTr="00AC66FC">
        <w:tc>
          <w:tcPr>
            <w:tcW w:w="1647" w:type="pct"/>
          </w:tcPr>
          <w:p w14:paraId="216EDC61" w14:textId="77777777" w:rsidR="00AC66FC" w:rsidRPr="006C6356" w:rsidRDefault="00AC66FC" w:rsidP="00B526D8">
            <w:pPr>
              <w:keepNext/>
              <w:rPr>
                <w:rFonts w:eastAsia="Calibri" w:cs="Arial"/>
                <w:sz w:val="18"/>
                <w:szCs w:val="18"/>
              </w:rPr>
            </w:pPr>
            <w:r w:rsidRPr="006C6356">
              <w:rPr>
                <w:rFonts w:eastAsia="Calibri" w:cs="Arial"/>
                <w:sz w:val="18"/>
                <w:szCs w:val="18"/>
              </w:rPr>
              <w:t>Electricity Industry General Law 2014</w:t>
            </w:r>
          </w:p>
        </w:tc>
        <w:tc>
          <w:tcPr>
            <w:tcW w:w="3353" w:type="pct"/>
          </w:tcPr>
          <w:p w14:paraId="35092FAF" w14:textId="77777777" w:rsidR="00AC66FC" w:rsidRPr="006C6356" w:rsidRDefault="00AC66FC" w:rsidP="00B526D8">
            <w:pPr>
              <w:keepNext/>
              <w:rPr>
                <w:rFonts w:eastAsia="Calibri" w:cs="Arial"/>
                <w:sz w:val="18"/>
                <w:szCs w:val="18"/>
              </w:rPr>
            </w:pPr>
            <w:r w:rsidRPr="006C6356">
              <w:rPr>
                <w:rFonts w:eastAsia="Calibri" w:cs="Arial"/>
                <w:sz w:val="18"/>
                <w:szCs w:val="18"/>
              </w:rPr>
              <w:t>Art. 29 indicates that the national electricity company must separate into generation, transmission, operation, and distribution.</w:t>
            </w:r>
          </w:p>
          <w:p w14:paraId="3C771A20" w14:textId="77777777" w:rsidR="00AC66FC" w:rsidRPr="006C6356" w:rsidRDefault="00AC66FC" w:rsidP="00B526D8">
            <w:pPr>
              <w:keepNext/>
              <w:rPr>
                <w:rFonts w:eastAsia="Calibri" w:cs="Arial"/>
                <w:sz w:val="18"/>
                <w:szCs w:val="18"/>
              </w:rPr>
            </w:pPr>
            <w:r w:rsidRPr="006C6356">
              <w:rPr>
                <w:rFonts w:eastAsia="Calibri" w:cs="Arial"/>
                <w:sz w:val="18"/>
                <w:szCs w:val="18"/>
              </w:rPr>
              <w:t>To date, the company is a monopoly, and there is no competitiveness in the sector.</w:t>
            </w:r>
          </w:p>
          <w:p w14:paraId="40321764" w14:textId="77777777" w:rsidR="00AC66FC" w:rsidRPr="006C6356" w:rsidRDefault="00AC66FC" w:rsidP="00B526D8">
            <w:pPr>
              <w:keepNext/>
              <w:rPr>
                <w:rFonts w:eastAsia="Calibri" w:cs="Arial"/>
                <w:sz w:val="18"/>
                <w:szCs w:val="18"/>
              </w:rPr>
            </w:pPr>
            <w:r w:rsidRPr="006C6356">
              <w:rPr>
                <w:rFonts w:eastAsia="Calibri" w:cs="Arial"/>
                <w:sz w:val="18"/>
                <w:szCs w:val="18"/>
              </w:rPr>
              <w:t>With the opening of the electricity market, the regulatory framework will need to be reviewed and adjusted.</w:t>
            </w:r>
          </w:p>
        </w:tc>
      </w:tr>
      <w:tr w:rsidR="00AC66FC" w:rsidRPr="003E2D0B" w14:paraId="78A35239" w14:textId="77777777" w:rsidTr="00AC66FC">
        <w:tc>
          <w:tcPr>
            <w:tcW w:w="1647" w:type="pct"/>
          </w:tcPr>
          <w:p w14:paraId="1EFE6A6B" w14:textId="77777777" w:rsidR="00AC66FC" w:rsidRPr="006C6356" w:rsidRDefault="00AC66FC" w:rsidP="00B526D8">
            <w:pPr>
              <w:keepNext/>
              <w:rPr>
                <w:rFonts w:eastAsia="Calibri" w:cs="Arial"/>
                <w:sz w:val="18"/>
                <w:szCs w:val="18"/>
              </w:rPr>
            </w:pPr>
            <w:r w:rsidRPr="006C6356">
              <w:rPr>
                <w:rFonts w:eastAsia="Calibri" w:cs="Arial"/>
                <w:sz w:val="18"/>
                <w:szCs w:val="18"/>
              </w:rPr>
              <w:t>Electricity Industry General Law 2014 and its regulation</w:t>
            </w:r>
          </w:p>
          <w:p w14:paraId="214558B9" w14:textId="77777777" w:rsidR="00AC66FC" w:rsidRPr="006C6356" w:rsidRDefault="00AC66FC" w:rsidP="00B526D8">
            <w:pPr>
              <w:keepNext/>
              <w:rPr>
                <w:rFonts w:eastAsia="Calibri" w:cs="Arial"/>
                <w:sz w:val="18"/>
                <w:szCs w:val="18"/>
              </w:rPr>
            </w:pPr>
          </w:p>
        </w:tc>
        <w:tc>
          <w:tcPr>
            <w:tcW w:w="3353" w:type="pct"/>
          </w:tcPr>
          <w:p w14:paraId="7C69807A" w14:textId="77777777" w:rsidR="00AC66FC" w:rsidRPr="006C6356" w:rsidRDefault="00AC66FC" w:rsidP="00B526D8">
            <w:pPr>
              <w:keepNext/>
              <w:rPr>
                <w:rFonts w:eastAsia="Calibri" w:cs="Arial"/>
                <w:sz w:val="18"/>
                <w:szCs w:val="18"/>
              </w:rPr>
            </w:pPr>
            <w:r w:rsidRPr="006C6356">
              <w:rPr>
                <w:rFonts w:eastAsia="Calibri" w:cs="Arial"/>
                <w:sz w:val="18"/>
                <w:szCs w:val="18"/>
              </w:rPr>
              <w:t>Art. 15 D indicates that the distributors must buy surplus electricity from renewable energies generated by residential and commercial users at a specific rate.</w:t>
            </w:r>
          </w:p>
          <w:p w14:paraId="7672CF43" w14:textId="77777777" w:rsidR="00AC66FC" w:rsidRPr="006C6356" w:rsidRDefault="00AC66FC" w:rsidP="00B526D8">
            <w:pPr>
              <w:keepNext/>
              <w:rPr>
                <w:rFonts w:eastAsia="Calibri" w:cs="Arial"/>
                <w:sz w:val="18"/>
                <w:szCs w:val="18"/>
              </w:rPr>
            </w:pPr>
            <w:r w:rsidRPr="006C6356">
              <w:rPr>
                <w:rFonts w:eastAsia="Calibri" w:cs="Arial"/>
                <w:sz w:val="18"/>
                <w:szCs w:val="18"/>
              </w:rPr>
              <w:t>The rate for the purchase of surpluses is not defined.</w:t>
            </w:r>
          </w:p>
          <w:p w14:paraId="2D8642CA" w14:textId="77777777" w:rsidR="00AC66FC" w:rsidRPr="006C6356" w:rsidRDefault="00AC66FC" w:rsidP="00B526D8">
            <w:pPr>
              <w:keepNext/>
              <w:rPr>
                <w:rFonts w:eastAsia="Calibri" w:cs="Arial"/>
                <w:sz w:val="18"/>
                <w:szCs w:val="18"/>
              </w:rPr>
            </w:pPr>
            <w:r w:rsidRPr="006C6356">
              <w:rPr>
                <w:rFonts w:eastAsia="Calibri" w:cs="Arial"/>
                <w:sz w:val="18"/>
                <w:szCs w:val="18"/>
              </w:rPr>
              <w:t>There are not enough incentives for the massive use of these technologies in the sectors mentioned above.</w:t>
            </w:r>
          </w:p>
          <w:p w14:paraId="12BD0631" w14:textId="77777777" w:rsidR="00AC66FC" w:rsidRPr="006C6356" w:rsidRDefault="00AC66FC" w:rsidP="00B526D8">
            <w:pPr>
              <w:keepNext/>
              <w:rPr>
                <w:rFonts w:eastAsia="Calibri" w:cs="Arial"/>
                <w:sz w:val="18"/>
                <w:szCs w:val="18"/>
              </w:rPr>
            </w:pPr>
            <w:r w:rsidRPr="006C6356">
              <w:rPr>
                <w:rFonts w:eastAsia="Calibri" w:cs="Arial"/>
                <w:sz w:val="18"/>
                <w:szCs w:val="18"/>
              </w:rPr>
              <w:t>Establish promotion mechanisms and models appropriate to the current context.</w:t>
            </w:r>
          </w:p>
        </w:tc>
      </w:tr>
      <w:tr w:rsidR="00AC66FC" w:rsidRPr="006C6356" w14:paraId="09E90562" w14:textId="77777777" w:rsidTr="00AC66FC">
        <w:tc>
          <w:tcPr>
            <w:tcW w:w="1647" w:type="pct"/>
          </w:tcPr>
          <w:p w14:paraId="2C965F67" w14:textId="77777777" w:rsidR="00AC66FC" w:rsidRPr="006C6356" w:rsidRDefault="00AC66FC" w:rsidP="00B526D8">
            <w:pPr>
              <w:keepNext/>
              <w:rPr>
                <w:rFonts w:eastAsia="Calibri" w:cs="Arial"/>
                <w:sz w:val="18"/>
                <w:szCs w:val="18"/>
              </w:rPr>
            </w:pPr>
            <w:r w:rsidRPr="006C6356">
              <w:rPr>
                <w:rFonts w:eastAsia="Calibri" w:cs="Arial"/>
                <w:sz w:val="18"/>
                <w:szCs w:val="18"/>
              </w:rPr>
              <w:t>Technical</w:t>
            </w:r>
          </w:p>
        </w:tc>
        <w:tc>
          <w:tcPr>
            <w:tcW w:w="3353" w:type="pct"/>
          </w:tcPr>
          <w:p w14:paraId="1FD6AE4A" w14:textId="77777777" w:rsidR="00AC66FC" w:rsidRPr="006C6356" w:rsidRDefault="00AC66FC" w:rsidP="00B526D8">
            <w:pPr>
              <w:keepNext/>
              <w:rPr>
                <w:rFonts w:eastAsia="Calibri" w:cs="Arial"/>
                <w:sz w:val="18"/>
                <w:szCs w:val="18"/>
              </w:rPr>
            </w:pPr>
          </w:p>
        </w:tc>
      </w:tr>
      <w:tr w:rsidR="00AC66FC" w:rsidRPr="0016708A" w14:paraId="33A05CE9" w14:textId="77777777" w:rsidTr="00AC66FC">
        <w:tc>
          <w:tcPr>
            <w:tcW w:w="1647" w:type="pct"/>
          </w:tcPr>
          <w:p w14:paraId="4B80326E" w14:textId="77777777" w:rsidR="00AC66FC" w:rsidRPr="0016708A" w:rsidRDefault="00AC66FC" w:rsidP="00B526D8">
            <w:pPr>
              <w:keepNext/>
              <w:rPr>
                <w:rFonts w:eastAsia="Calibri" w:cs="Arial"/>
                <w:sz w:val="18"/>
                <w:szCs w:val="18"/>
              </w:rPr>
            </w:pPr>
            <w:r w:rsidRPr="0016708A">
              <w:rPr>
                <w:rFonts w:eastAsia="Calibri" w:cs="Arial"/>
                <w:sz w:val="18"/>
                <w:szCs w:val="18"/>
              </w:rPr>
              <w:t>Products and Services offer.</w:t>
            </w:r>
          </w:p>
        </w:tc>
        <w:tc>
          <w:tcPr>
            <w:tcW w:w="3353" w:type="pct"/>
          </w:tcPr>
          <w:p w14:paraId="101B77C9" w14:textId="77777777" w:rsidR="00AC66FC" w:rsidRPr="0016708A" w:rsidRDefault="00AC66FC" w:rsidP="00B526D8">
            <w:pPr>
              <w:keepNext/>
              <w:rPr>
                <w:rFonts w:eastAsia="Calibri" w:cs="Arial"/>
                <w:sz w:val="18"/>
                <w:szCs w:val="18"/>
              </w:rPr>
            </w:pPr>
          </w:p>
          <w:p w14:paraId="08CF1AFC" w14:textId="77777777" w:rsidR="00AC66FC" w:rsidRPr="0016708A" w:rsidRDefault="00AC66FC" w:rsidP="00B526D8">
            <w:pPr>
              <w:keepNext/>
              <w:rPr>
                <w:rFonts w:eastAsia="Calibri" w:cs="Arial"/>
                <w:sz w:val="18"/>
                <w:szCs w:val="18"/>
              </w:rPr>
            </w:pPr>
            <w:r w:rsidRPr="0016708A">
              <w:rPr>
                <w:rFonts w:eastAsia="Calibri" w:cs="Arial"/>
                <w:sz w:val="18"/>
                <w:szCs w:val="18"/>
              </w:rPr>
              <w:t>There is not enough offer of products and services for solar energy in the residential and commercial sectors.</w:t>
            </w:r>
          </w:p>
          <w:p w14:paraId="0C4AFB89" w14:textId="77777777" w:rsidR="00AC66FC" w:rsidRPr="0016708A" w:rsidRDefault="00AC66FC" w:rsidP="00B526D8">
            <w:pPr>
              <w:keepNext/>
              <w:rPr>
                <w:rFonts w:eastAsia="Calibri" w:cs="Arial"/>
                <w:sz w:val="18"/>
                <w:szCs w:val="18"/>
              </w:rPr>
            </w:pPr>
            <w:r w:rsidRPr="0016708A">
              <w:rPr>
                <w:rFonts w:eastAsia="Calibri" w:cs="Arial"/>
                <w:sz w:val="18"/>
                <w:szCs w:val="18"/>
              </w:rPr>
              <w:t>Define what kind of products and services are appropriate in the current context.</w:t>
            </w:r>
          </w:p>
        </w:tc>
      </w:tr>
      <w:tr w:rsidR="00AC66FC" w:rsidRPr="0016708A" w14:paraId="662DC2BC" w14:textId="77777777" w:rsidTr="00AC66FC">
        <w:tc>
          <w:tcPr>
            <w:tcW w:w="1647" w:type="pct"/>
          </w:tcPr>
          <w:p w14:paraId="2A191B95" w14:textId="77777777" w:rsidR="00AC66FC" w:rsidRPr="0016708A" w:rsidRDefault="00AC66FC" w:rsidP="00B526D8">
            <w:pPr>
              <w:keepNext/>
              <w:rPr>
                <w:rFonts w:eastAsia="Calibri" w:cs="Arial"/>
                <w:sz w:val="18"/>
                <w:szCs w:val="18"/>
              </w:rPr>
            </w:pPr>
            <w:r w:rsidRPr="0016708A">
              <w:rPr>
                <w:rFonts w:eastAsia="Calibri" w:cs="Arial"/>
                <w:sz w:val="18"/>
                <w:szCs w:val="18"/>
              </w:rPr>
              <w:t>Large-scale production with renewable energies</w:t>
            </w:r>
          </w:p>
        </w:tc>
        <w:tc>
          <w:tcPr>
            <w:tcW w:w="3353" w:type="pct"/>
          </w:tcPr>
          <w:p w14:paraId="2043DACE" w14:textId="09D352D0" w:rsidR="00AC66FC" w:rsidRPr="0016708A" w:rsidRDefault="00AC66FC" w:rsidP="00B526D8">
            <w:pPr>
              <w:keepNext/>
              <w:rPr>
                <w:rFonts w:eastAsia="Calibri" w:cs="Arial"/>
                <w:sz w:val="18"/>
                <w:szCs w:val="18"/>
              </w:rPr>
            </w:pPr>
            <w:r w:rsidRPr="0016708A">
              <w:rPr>
                <w:rFonts w:eastAsia="Calibri" w:cs="Arial"/>
                <w:sz w:val="18"/>
                <w:szCs w:val="18"/>
              </w:rPr>
              <w:t>Continue exploring renewable energy potential</w:t>
            </w:r>
            <w:r w:rsidR="00634948" w:rsidRPr="0016708A">
              <w:rPr>
                <w:rFonts w:eastAsia="Calibri" w:cs="Arial"/>
                <w:sz w:val="18"/>
                <w:szCs w:val="18"/>
              </w:rPr>
              <w:t>.</w:t>
            </w:r>
          </w:p>
        </w:tc>
      </w:tr>
      <w:tr w:rsidR="00AC66FC" w:rsidRPr="0016708A" w14:paraId="1C7C1944" w14:textId="77777777" w:rsidTr="00AC66FC">
        <w:tc>
          <w:tcPr>
            <w:tcW w:w="1647" w:type="pct"/>
          </w:tcPr>
          <w:p w14:paraId="0494A574" w14:textId="77777777" w:rsidR="00AC66FC" w:rsidRPr="0016708A" w:rsidRDefault="00AC66FC" w:rsidP="00B526D8">
            <w:pPr>
              <w:keepNext/>
              <w:rPr>
                <w:rFonts w:eastAsia="Calibri" w:cs="Arial"/>
                <w:sz w:val="18"/>
                <w:szCs w:val="18"/>
              </w:rPr>
            </w:pPr>
            <w:r w:rsidRPr="0016708A">
              <w:rPr>
                <w:rFonts w:eastAsia="Calibri" w:cs="Arial"/>
                <w:sz w:val="18"/>
                <w:szCs w:val="18"/>
              </w:rPr>
              <w:t>Current electrical infrastructure</w:t>
            </w:r>
          </w:p>
        </w:tc>
        <w:tc>
          <w:tcPr>
            <w:tcW w:w="3353" w:type="pct"/>
          </w:tcPr>
          <w:p w14:paraId="559C0FFB" w14:textId="77777777" w:rsidR="00AC66FC" w:rsidRPr="0016708A" w:rsidRDefault="00AC66FC" w:rsidP="00B526D8">
            <w:pPr>
              <w:keepNext/>
              <w:rPr>
                <w:rFonts w:eastAsia="Calibri" w:cs="Arial"/>
                <w:sz w:val="18"/>
                <w:szCs w:val="18"/>
              </w:rPr>
            </w:pPr>
            <w:r w:rsidRPr="0016708A">
              <w:rPr>
                <w:rFonts w:eastAsia="Calibri" w:cs="Arial"/>
                <w:sz w:val="18"/>
                <w:szCs w:val="18"/>
              </w:rPr>
              <w:t>The country has transmission and distribution systems that are not stable to transmit and distribute electricity.</w:t>
            </w:r>
          </w:p>
          <w:p w14:paraId="5F1DFCE7" w14:textId="77777777" w:rsidR="00AC66FC" w:rsidRPr="0016708A" w:rsidRDefault="00AC66FC" w:rsidP="00B526D8">
            <w:pPr>
              <w:keepNext/>
              <w:rPr>
                <w:rFonts w:eastAsia="Calibri" w:cs="Arial"/>
                <w:sz w:val="18"/>
                <w:szCs w:val="18"/>
              </w:rPr>
            </w:pPr>
            <w:r w:rsidRPr="0016708A">
              <w:rPr>
                <w:rFonts w:eastAsia="Calibri" w:cs="Arial"/>
                <w:sz w:val="18"/>
                <w:szCs w:val="18"/>
              </w:rPr>
              <w:t>Investments are needed to redesign and strengthen both systems.</w:t>
            </w:r>
          </w:p>
        </w:tc>
      </w:tr>
    </w:tbl>
    <w:p w14:paraId="7B265D8E" w14:textId="4AE20E46" w:rsidR="00AE434F" w:rsidRPr="008D78F4" w:rsidRDefault="00AE434F" w:rsidP="00AE434F">
      <w:pPr>
        <w:tabs>
          <w:tab w:val="left" w:pos="7418"/>
        </w:tabs>
        <w:spacing w:line="240" w:lineRule="auto"/>
        <w:rPr>
          <w:rFonts w:eastAsia="Calibri" w:cs="Arial"/>
          <w:i/>
          <w:iCs/>
          <w:sz w:val="16"/>
          <w:szCs w:val="18"/>
        </w:rPr>
      </w:pPr>
      <w:r w:rsidRPr="0016708A">
        <w:rPr>
          <w:rFonts w:eastAsia="Calibri" w:cs="Arial"/>
          <w:i/>
          <w:iCs/>
          <w:sz w:val="16"/>
          <w:szCs w:val="18"/>
        </w:rPr>
        <w:t>Source: https://www.cnee.gob.</w:t>
      </w:r>
      <w:r w:rsidRPr="008D78F4">
        <w:rPr>
          <w:rFonts w:eastAsia="Calibri" w:cs="Arial"/>
          <w:i/>
          <w:iCs/>
          <w:sz w:val="16"/>
          <w:szCs w:val="18"/>
        </w:rPr>
        <w:t>gt/wp/marco-legal/</w:t>
      </w:r>
    </w:p>
    <w:p w14:paraId="09DFFD03" w14:textId="77777777" w:rsidR="00AE434F" w:rsidRPr="006C6356" w:rsidRDefault="00AE434F" w:rsidP="00AE434F">
      <w:pPr>
        <w:spacing w:line="240" w:lineRule="auto"/>
        <w:rPr>
          <w:rFonts w:eastAsia="Calibri" w:cs="Arial"/>
        </w:rPr>
      </w:pPr>
    </w:p>
    <w:p w14:paraId="70FA0945" w14:textId="77777777" w:rsidR="00AE434F" w:rsidRPr="006C6356" w:rsidRDefault="00AE434F" w:rsidP="00AE434F">
      <w:pPr>
        <w:spacing w:line="240" w:lineRule="auto"/>
        <w:rPr>
          <w:rFonts w:eastAsia="Calibri" w:cs="Arial"/>
        </w:rPr>
      </w:pPr>
    </w:p>
    <w:p w14:paraId="43428A36" w14:textId="6F9766B0" w:rsidR="00AE434F" w:rsidRPr="008D78F4" w:rsidRDefault="008D78F4" w:rsidP="008D78F4">
      <w:pPr>
        <w:keepNext/>
        <w:tabs>
          <w:tab w:val="left" w:pos="7200"/>
        </w:tabs>
        <w:spacing w:after="120" w:line="240" w:lineRule="auto"/>
        <w:jc w:val="left"/>
        <w:rPr>
          <w:rFonts w:eastAsia="Calibri" w:cs="Arial"/>
          <w:b/>
          <w:bCs/>
          <w:szCs w:val="24"/>
        </w:rPr>
      </w:pPr>
      <w:r w:rsidRPr="008D78F4">
        <w:rPr>
          <w:rFonts w:eastAsia="Calibri" w:cs="Arial"/>
          <w:b/>
          <w:bCs/>
          <w:szCs w:val="24"/>
        </w:rPr>
        <w:t>El Salvador</w:t>
      </w:r>
    </w:p>
    <w:tbl>
      <w:tblPr>
        <w:tblStyle w:val="Tablaconcuadrcula"/>
        <w:tblW w:w="5000" w:type="pct"/>
        <w:tblLook w:val="04A0" w:firstRow="1" w:lastRow="0" w:firstColumn="1" w:lastColumn="0" w:noHBand="0" w:noVBand="1"/>
      </w:tblPr>
      <w:tblGrid>
        <w:gridCol w:w="2799"/>
        <w:gridCol w:w="5699"/>
      </w:tblGrid>
      <w:tr w:rsidR="00D75C83" w:rsidRPr="006C6356" w14:paraId="7D207190" w14:textId="77777777" w:rsidTr="00B526D8">
        <w:tc>
          <w:tcPr>
            <w:tcW w:w="1647" w:type="pct"/>
            <w:shd w:val="clear" w:color="auto" w:fill="4472C4"/>
          </w:tcPr>
          <w:p w14:paraId="7C9DFECE" w14:textId="77777777" w:rsidR="00D75C83" w:rsidRPr="006C6356" w:rsidRDefault="00D75C83" w:rsidP="00B526D8">
            <w:pPr>
              <w:keepNext/>
              <w:jc w:val="center"/>
              <w:rPr>
                <w:rFonts w:eastAsia="Calibri" w:cs="Arial"/>
                <w:color w:val="FFFFFF"/>
                <w:sz w:val="18"/>
                <w:szCs w:val="20"/>
              </w:rPr>
            </w:pPr>
            <w:r w:rsidRPr="006C6356">
              <w:rPr>
                <w:rFonts w:eastAsia="Calibri" w:cs="Arial"/>
                <w:color w:val="FFFFFF"/>
                <w:sz w:val="18"/>
                <w:szCs w:val="20"/>
              </w:rPr>
              <w:t>Barriers</w:t>
            </w:r>
          </w:p>
        </w:tc>
        <w:tc>
          <w:tcPr>
            <w:tcW w:w="3353" w:type="pct"/>
            <w:shd w:val="clear" w:color="auto" w:fill="4472C4"/>
          </w:tcPr>
          <w:p w14:paraId="54452EC7" w14:textId="77777777" w:rsidR="00D75C83" w:rsidRPr="006C6356" w:rsidRDefault="00D75C83" w:rsidP="00B526D8">
            <w:pPr>
              <w:keepNext/>
              <w:jc w:val="center"/>
              <w:rPr>
                <w:rFonts w:eastAsia="Calibri" w:cs="Arial"/>
                <w:color w:val="FFFFFF"/>
                <w:sz w:val="18"/>
                <w:szCs w:val="20"/>
              </w:rPr>
            </w:pPr>
            <w:r w:rsidRPr="006C6356">
              <w:rPr>
                <w:rFonts w:eastAsia="Calibri" w:cs="Arial"/>
                <w:color w:val="FFFFFF"/>
                <w:sz w:val="18"/>
                <w:szCs w:val="20"/>
              </w:rPr>
              <w:t>Description</w:t>
            </w:r>
          </w:p>
        </w:tc>
      </w:tr>
      <w:tr w:rsidR="00D75C83" w:rsidRPr="006C6356" w14:paraId="1ABBE90C" w14:textId="77777777" w:rsidTr="00B526D8">
        <w:tc>
          <w:tcPr>
            <w:tcW w:w="5000" w:type="pct"/>
            <w:gridSpan w:val="2"/>
          </w:tcPr>
          <w:p w14:paraId="60B1A961" w14:textId="77777777" w:rsidR="00D75C83" w:rsidRPr="006C6356" w:rsidRDefault="00D75C83" w:rsidP="00B526D8">
            <w:pPr>
              <w:keepNext/>
              <w:rPr>
                <w:rFonts w:eastAsia="Calibri" w:cs="Arial"/>
                <w:sz w:val="18"/>
                <w:szCs w:val="20"/>
              </w:rPr>
            </w:pPr>
            <w:r w:rsidRPr="006C6356">
              <w:rPr>
                <w:rFonts w:eastAsia="Calibri" w:cs="Arial"/>
                <w:sz w:val="18"/>
                <w:szCs w:val="20"/>
              </w:rPr>
              <w:t>Regulatory</w:t>
            </w:r>
          </w:p>
        </w:tc>
      </w:tr>
      <w:tr w:rsidR="00D75C83" w:rsidRPr="003E2D0B" w14:paraId="5214DD62" w14:textId="77777777" w:rsidTr="00B526D8">
        <w:tc>
          <w:tcPr>
            <w:tcW w:w="1647" w:type="pct"/>
          </w:tcPr>
          <w:p w14:paraId="35E84009" w14:textId="77777777" w:rsidR="00D75C83" w:rsidRPr="006C6356" w:rsidRDefault="00D75C83" w:rsidP="00B526D8">
            <w:pPr>
              <w:keepNext/>
              <w:rPr>
                <w:rFonts w:eastAsia="Calibri" w:cs="Arial"/>
                <w:sz w:val="18"/>
                <w:szCs w:val="20"/>
              </w:rPr>
            </w:pPr>
            <w:r w:rsidRPr="006C6356">
              <w:rPr>
                <w:rFonts w:eastAsia="Calibri" w:cs="Arial"/>
                <w:sz w:val="18"/>
                <w:szCs w:val="20"/>
              </w:rPr>
              <w:t>National Electricity Policy</w:t>
            </w:r>
          </w:p>
        </w:tc>
        <w:tc>
          <w:tcPr>
            <w:tcW w:w="3353" w:type="pct"/>
          </w:tcPr>
          <w:p w14:paraId="29ED6878" w14:textId="77777777" w:rsidR="00D75C83" w:rsidRPr="006C6356" w:rsidRDefault="00D75C83" w:rsidP="00B526D8">
            <w:pPr>
              <w:keepNext/>
              <w:rPr>
                <w:rFonts w:eastAsia="Calibri" w:cs="Arial"/>
                <w:sz w:val="18"/>
                <w:szCs w:val="20"/>
              </w:rPr>
            </w:pPr>
            <w:r w:rsidRPr="006C6356">
              <w:rPr>
                <w:rFonts w:eastAsia="Calibri" w:cs="Arial"/>
                <w:sz w:val="18"/>
                <w:szCs w:val="20"/>
              </w:rPr>
              <w:t xml:space="preserve">The CNE has defined five long-term strategic lines for energy development 2020-2050. 1.-Update regulatory frameworks to increase the use of renewable energies 2.- Sustainable energy supply raising the use of renewable resources. 4.- R&amp;D+I exploration of new energy. </w:t>
            </w:r>
          </w:p>
          <w:p w14:paraId="13CD9D36" w14:textId="77777777" w:rsidR="00D75C83" w:rsidRPr="006C6356" w:rsidRDefault="00D75C83" w:rsidP="00B526D8">
            <w:pPr>
              <w:keepNext/>
              <w:rPr>
                <w:rFonts w:eastAsia="Calibri" w:cs="Arial"/>
                <w:sz w:val="18"/>
                <w:szCs w:val="20"/>
              </w:rPr>
            </w:pPr>
            <w:r w:rsidRPr="006C6356">
              <w:rPr>
                <w:rFonts w:eastAsia="Calibri" w:cs="Arial"/>
                <w:sz w:val="18"/>
                <w:szCs w:val="20"/>
              </w:rPr>
              <w:t>A more comprehensive energy plan and clear objectives are needed.</w:t>
            </w:r>
          </w:p>
        </w:tc>
      </w:tr>
      <w:tr w:rsidR="00D75C83" w:rsidRPr="003E2D0B" w14:paraId="0993700D" w14:textId="77777777" w:rsidTr="00B526D8">
        <w:tc>
          <w:tcPr>
            <w:tcW w:w="1647" w:type="pct"/>
          </w:tcPr>
          <w:p w14:paraId="057DDE5C" w14:textId="77777777" w:rsidR="00D75C83" w:rsidRPr="006C6356" w:rsidRDefault="00D75C83" w:rsidP="00B526D8">
            <w:pPr>
              <w:keepNext/>
              <w:rPr>
                <w:rFonts w:eastAsia="Calibri" w:cs="Arial"/>
                <w:sz w:val="18"/>
                <w:szCs w:val="20"/>
              </w:rPr>
            </w:pPr>
            <w:r w:rsidRPr="006C6356">
              <w:rPr>
                <w:rFonts w:eastAsia="Calibri" w:cs="Arial"/>
                <w:sz w:val="18"/>
                <w:szCs w:val="20"/>
              </w:rPr>
              <w:t>National Electricity Policy</w:t>
            </w:r>
          </w:p>
          <w:p w14:paraId="48C81629" w14:textId="77777777" w:rsidR="00D75C83" w:rsidRPr="006C6356" w:rsidRDefault="00D75C83" w:rsidP="00B526D8">
            <w:pPr>
              <w:keepNext/>
              <w:rPr>
                <w:rFonts w:eastAsia="Calibri" w:cs="Arial"/>
                <w:sz w:val="18"/>
                <w:szCs w:val="20"/>
              </w:rPr>
            </w:pPr>
            <w:r w:rsidRPr="006C6356">
              <w:rPr>
                <w:rFonts w:eastAsia="Calibri" w:cs="Arial"/>
                <w:sz w:val="18"/>
                <w:szCs w:val="20"/>
              </w:rPr>
              <w:t>The expansion plan of the electrical system</w:t>
            </w:r>
          </w:p>
        </w:tc>
        <w:tc>
          <w:tcPr>
            <w:tcW w:w="3353" w:type="pct"/>
          </w:tcPr>
          <w:p w14:paraId="3F06F936" w14:textId="77777777" w:rsidR="00D75C83" w:rsidRPr="006C6356" w:rsidRDefault="00D75C83" w:rsidP="00B526D8">
            <w:pPr>
              <w:keepNext/>
              <w:autoSpaceDE w:val="0"/>
              <w:autoSpaceDN w:val="0"/>
              <w:adjustRightInd w:val="0"/>
              <w:rPr>
                <w:rFonts w:ascii="GothamNarrow-Book" w:eastAsia="Calibri" w:hAnsi="GothamNarrow-Book" w:cs="GothamNarrow-Book"/>
                <w:sz w:val="18"/>
                <w:szCs w:val="20"/>
              </w:rPr>
            </w:pPr>
            <w:r w:rsidRPr="006C6356">
              <w:rPr>
                <w:rFonts w:eastAsia="Calibri" w:cs="Arial"/>
                <w:sz w:val="18"/>
                <w:szCs w:val="20"/>
              </w:rPr>
              <w:t>The expansion plan of the electrical system, must address the problem of operational flexibility in the electricity system when thinking about increasing the capacity by using renewable energies and the rising distributed generation on the demand side.</w:t>
            </w:r>
          </w:p>
        </w:tc>
      </w:tr>
      <w:tr w:rsidR="00D75C83" w:rsidRPr="003E2D0B" w14:paraId="73FD993C" w14:textId="77777777" w:rsidTr="00B526D8">
        <w:tc>
          <w:tcPr>
            <w:tcW w:w="1647" w:type="pct"/>
          </w:tcPr>
          <w:p w14:paraId="783E579E" w14:textId="77777777" w:rsidR="00D75C83" w:rsidRPr="006C6356" w:rsidRDefault="00D75C83" w:rsidP="00B526D8">
            <w:pPr>
              <w:keepNext/>
              <w:rPr>
                <w:rFonts w:eastAsia="Calibri" w:cs="Arial"/>
                <w:sz w:val="18"/>
                <w:szCs w:val="20"/>
              </w:rPr>
            </w:pPr>
            <w:r w:rsidRPr="006C6356">
              <w:rPr>
                <w:rFonts w:eastAsia="Calibri" w:cs="Arial"/>
                <w:sz w:val="18"/>
                <w:szCs w:val="20"/>
              </w:rPr>
              <w:t>General Electricity Law</w:t>
            </w:r>
          </w:p>
        </w:tc>
        <w:tc>
          <w:tcPr>
            <w:tcW w:w="3353" w:type="pct"/>
          </w:tcPr>
          <w:p w14:paraId="0AB451BF" w14:textId="77777777" w:rsidR="00D75C83" w:rsidRPr="006C6356" w:rsidRDefault="00D75C83" w:rsidP="00B526D8">
            <w:pPr>
              <w:keepNext/>
              <w:rPr>
                <w:rFonts w:eastAsia="Calibri" w:cs="Arial"/>
                <w:sz w:val="18"/>
                <w:szCs w:val="20"/>
              </w:rPr>
            </w:pPr>
            <w:r w:rsidRPr="006C6356">
              <w:rPr>
                <w:rFonts w:eastAsia="Calibri" w:cs="Arial"/>
                <w:sz w:val="18"/>
                <w:szCs w:val="20"/>
              </w:rPr>
              <w:t>The law indicates the use of geothermal resources to generate electricity.</w:t>
            </w:r>
          </w:p>
          <w:p w14:paraId="42B0BDEA" w14:textId="77777777" w:rsidR="00D75C83" w:rsidRPr="006C6356" w:rsidRDefault="00D75C83" w:rsidP="00B526D8">
            <w:pPr>
              <w:keepNext/>
              <w:rPr>
                <w:rFonts w:eastAsia="Calibri" w:cs="Arial"/>
                <w:sz w:val="18"/>
                <w:szCs w:val="20"/>
              </w:rPr>
            </w:pPr>
            <w:r w:rsidRPr="006C6356">
              <w:rPr>
                <w:rFonts w:eastAsia="Calibri" w:cs="Arial"/>
                <w:sz w:val="18"/>
                <w:szCs w:val="20"/>
              </w:rPr>
              <w:t>Using geothermal heat for air conditioning, agricultural industry, tourism or medicine, requires complying with environmental regulations and municipality construction requirements.</w:t>
            </w:r>
          </w:p>
          <w:p w14:paraId="11729653" w14:textId="77777777" w:rsidR="00D75C83" w:rsidRPr="006C6356" w:rsidRDefault="00D75C83" w:rsidP="00B526D8">
            <w:pPr>
              <w:keepNext/>
              <w:rPr>
                <w:rFonts w:eastAsia="Calibri" w:cs="Arial"/>
                <w:sz w:val="18"/>
                <w:szCs w:val="20"/>
              </w:rPr>
            </w:pPr>
            <w:r w:rsidRPr="006C6356">
              <w:rPr>
                <w:rFonts w:eastAsia="Calibri" w:cs="Arial"/>
                <w:sz w:val="18"/>
                <w:szCs w:val="20"/>
              </w:rPr>
              <w:t>It is needed to define the geothermal resources using enthalpy ranges and create regulations to exploit them in different direct uses.</w:t>
            </w:r>
          </w:p>
        </w:tc>
      </w:tr>
      <w:tr w:rsidR="00D75C83" w:rsidRPr="003E2D0B" w14:paraId="12BCD4C7" w14:textId="77777777" w:rsidTr="00B526D8">
        <w:tc>
          <w:tcPr>
            <w:tcW w:w="1647" w:type="pct"/>
          </w:tcPr>
          <w:p w14:paraId="62EC7DA5" w14:textId="77777777" w:rsidR="00D75C83" w:rsidRPr="006C6356" w:rsidRDefault="00D75C83" w:rsidP="00B526D8">
            <w:pPr>
              <w:keepNext/>
              <w:rPr>
                <w:rFonts w:eastAsia="Calibri" w:cs="Arial"/>
                <w:sz w:val="18"/>
                <w:szCs w:val="20"/>
              </w:rPr>
            </w:pPr>
            <w:r w:rsidRPr="006C6356">
              <w:rPr>
                <w:rFonts w:eastAsia="Calibri" w:cs="Arial"/>
                <w:sz w:val="18"/>
                <w:szCs w:val="20"/>
              </w:rPr>
              <w:t>Geothermal Direct Uses</w:t>
            </w:r>
          </w:p>
        </w:tc>
        <w:tc>
          <w:tcPr>
            <w:tcW w:w="3353" w:type="pct"/>
          </w:tcPr>
          <w:p w14:paraId="259CFDAE" w14:textId="77777777" w:rsidR="00D75C83" w:rsidRPr="006C6356" w:rsidRDefault="00D75C83" w:rsidP="00B526D8">
            <w:pPr>
              <w:keepNext/>
              <w:rPr>
                <w:rFonts w:eastAsia="Calibri" w:cs="Arial"/>
                <w:sz w:val="18"/>
                <w:szCs w:val="20"/>
              </w:rPr>
            </w:pPr>
            <w:r w:rsidRPr="006C6356">
              <w:rPr>
                <w:rFonts w:eastAsia="Calibri" w:cs="Arial"/>
                <w:sz w:val="18"/>
                <w:szCs w:val="20"/>
              </w:rPr>
              <w:t>It requires regulations to set the basis for direct geothermal uses and promote products and services.</w:t>
            </w:r>
          </w:p>
        </w:tc>
      </w:tr>
      <w:tr w:rsidR="00D75C83" w:rsidRPr="006C6356" w14:paraId="18262DF1" w14:textId="77777777" w:rsidTr="00B526D8">
        <w:tc>
          <w:tcPr>
            <w:tcW w:w="5000" w:type="pct"/>
            <w:gridSpan w:val="2"/>
          </w:tcPr>
          <w:p w14:paraId="713BA497" w14:textId="77777777" w:rsidR="00D75C83" w:rsidRPr="006C6356" w:rsidRDefault="00D75C83" w:rsidP="00B526D8">
            <w:pPr>
              <w:keepNext/>
              <w:rPr>
                <w:rFonts w:eastAsia="Calibri" w:cs="Arial"/>
                <w:sz w:val="18"/>
                <w:szCs w:val="20"/>
              </w:rPr>
            </w:pPr>
            <w:r w:rsidRPr="006C6356">
              <w:rPr>
                <w:rFonts w:eastAsia="Calibri" w:cs="Arial"/>
                <w:sz w:val="18"/>
                <w:szCs w:val="20"/>
              </w:rPr>
              <w:t>Technical</w:t>
            </w:r>
          </w:p>
        </w:tc>
      </w:tr>
      <w:tr w:rsidR="00D75C83" w:rsidRPr="003E2D0B" w14:paraId="5E6B39A1" w14:textId="77777777" w:rsidTr="00B526D8">
        <w:tc>
          <w:tcPr>
            <w:tcW w:w="1647" w:type="pct"/>
          </w:tcPr>
          <w:p w14:paraId="0BBD3E69" w14:textId="77777777" w:rsidR="00D75C83" w:rsidRPr="006C6356" w:rsidRDefault="00D75C83" w:rsidP="00B526D8">
            <w:pPr>
              <w:keepNext/>
              <w:rPr>
                <w:rFonts w:eastAsia="Calibri" w:cs="Arial"/>
                <w:sz w:val="18"/>
                <w:szCs w:val="20"/>
              </w:rPr>
            </w:pPr>
            <w:r w:rsidRPr="006C6356">
              <w:rPr>
                <w:rFonts w:eastAsia="Calibri" w:cs="Arial"/>
                <w:sz w:val="18"/>
                <w:szCs w:val="20"/>
              </w:rPr>
              <w:t>Distribution grid, National Electric System</w:t>
            </w:r>
          </w:p>
        </w:tc>
        <w:tc>
          <w:tcPr>
            <w:tcW w:w="3353" w:type="pct"/>
          </w:tcPr>
          <w:p w14:paraId="760FFD09" w14:textId="77777777" w:rsidR="00D75C83" w:rsidRPr="006C6356" w:rsidRDefault="00D75C83" w:rsidP="00B526D8">
            <w:pPr>
              <w:keepNext/>
              <w:rPr>
                <w:rFonts w:eastAsia="Calibri" w:cs="Arial"/>
                <w:sz w:val="18"/>
                <w:szCs w:val="20"/>
              </w:rPr>
            </w:pPr>
            <w:r w:rsidRPr="006C6356">
              <w:rPr>
                <w:rFonts w:eastAsia="Calibri" w:cs="Arial"/>
                <w:sz w:val="18"/>
                <w:szCs w:val="20"/>
              </w:rPr>
              <w:t xml:space="preserve">"Standard for end-users electric energy producers with renewable resources" has allowed growth mainly in the use of photovoltaic solar panels in roofs. Studies are needed to define the limit of distributed generation in the distribution network to ensure the system's stability and market. </w:t>
            </w:r>
          </w:p>
        </w:tc>
      </w:tr>
      <w:tr w:rsidR="00D75C83" w:rsidRPr="003E2D0B" w14:paraId="590881ED" w14:textId="77777777" w:rsidTr="00B526D8">
        <w:tc>
          <w:tcPr>
            <w:tcW w:w="1647" w:type="pct"/>
          </w:tcPr>
          <w:p w14:paraId="528EBCF7" w14:textId="77777777" w:rsidR="00D75C83" w:rsidRPr="006C6356" w:rsidRDefault="00D75C83" w:rsidP="00B526D8">
            <w:pPr>
              <w:keepNext/>
              <w:rPr>
                <w:rFonts w:eastAsia="Calibri" w:cs="Arial"/>
                <w:sz w:val="18"/>
                <w:szCs w:val="20"/>
              </w:rPr>
            </w:pPr>
            <w:r w:rsidRPr="006C6356">
              <w:rPr>
                <w:rFonts w:eastAsia="Calibri" w:cs="Arial"/>
                <w:sz w:val="18"/>
                <w:szCs w:val="20"/>
              </w:rPr>
              <w:t>Geothermal Energy</w:t>
            </w:r>
          </w:p>
        </w:tc>
        <w:tc>
          <w:tcPr>
            <w:tcW w:w="3353" w:type="pct"/>
          </w:tcPr>
          <w:p w14:paraId="48F423A6" w14:textId="77777777" w:rsidR="00D75C83" w:rsidRPr="006C6356" w:rsidRDefault="00D75C83" w:rsidP="00B526D8">
            <w:pPr>
              <w:keepNext/>
              <w:rPr>
                <w:rFonts w:eastAsia="Calibri" w:cs="Arial"/>
                <w:sz w:val="18"/>
                <w:szCs w:val="20"/>
              </w:rPr>
            </w:pPr>
            <w:r w:rsidRPr="006C6356">
              <w:rPr>
                <w:rFonts w:eastAsia="Calibri" w:cs="Arial"/>
                <w:sz w:val="18"/>
                <w:szCs w:val="20"/>
              </w:rPr>
              <w:t>Greater participation of technologies for direct use is required in the industry, commerce, services, and residential sectors.</w:t>
            </w:r>
          </w:p>
        </w:tc>
      </w:tr>
      <w:tr w:rsidR="00D75C83" w:rsidRPr="003E2D0B" w14:paraId="0C0186BF" w14:textId="77777777" w:rsidTr="00B526D8">
        <w:tc>
          <w:tcPr>
            <w:tcW w:w="1647" w:type="pct"/>
          </w:tcPr>
          <w:p w14:paraId="366D4D25" w14:textId="77777777" w:rsidR="00D75C83" w:rsidRPr="006C6356" w:rsidRDefault="00D75C83" w:rsidP="00B526D8">
            <w:pPr>
              <w:keepNext/>
              <w:rPr>
                <w:rFonts w:eastAsia="Calibri" w:cs="Arial"/>
                <w:sz w:val="18"/>
                <w:szCs w:val="20"/>
              </w:rPr>
            </w:pPr>
            <w:r w:rsidRPr="006C6356">
              <w:rPr>
                <w:rFonts w:eastAsia="Calibri" w:cs="Arial"/>
                <w:sz w:val="18"/>
                <w:szCs w:val="20"/>
              </w:rPr>
              <w:t>Geothermal Energy</w:t>
            </w:r>
          </w:p>
        </w:tc>
        <w:tc>
          <w:tcPr>
            <w:tcW w:w="3353" w:type="pct"/>
          </w:tcPr>
          <w:p w14:paraId="1A355B70" w14:textId="77777777" w:rsidR="00D75C83" w:rsidRPr="006C6356" w:rsidRDefault="00D75C83" w:rsidP="00B526D8">
            <w:pPr>
              <w:keepNext/>
              <w:rPr>
                <w:rFonts w:eastAsia="Calibri" w:cs="Arial"/>
                <w:sz w:val="18"/>
                <w:szCs w:val="20"/>
              </w:rPr>
            </w:pPr>
            <w:r w:rsidRPr="006C6356">
              <w:rPr>
                <w:rFonts w:eastAsia="Calibri" w:cs="Arial"/>
                <w:sz w:val="18"/>
                <w:szCs w:val="20"/>
              </w:rPr>
              <w:t>More experts and promoters are required to drive direct uses.</w:t>
            </w:r>
          </w:p>
        </w:tc>
      </w:tr>
    </w:tbl>
    <w:p w14:paraId="77687CE8" w14:textId="0C59AA99" w:rsidR="00AE434F" w:rsidRPr="008D78F4" w:rsidRDefault="00AE434F" w:rsidP="00AE434F">
      <w:pPr>
        <w:keepNext/>
        <w:spacing w:line="240" w:lineRule="auto"/>
        <w:rPr>
          <w:rFonts w:eastAsia="Calibri" w:cs="Arial"/>
          <w:i/>
          <w:iCs/>
          <w:sz w:val="16"/>
          <w:szCs w:val="16"/>
        </w:rPr>
      </w:pPr>
      <w:r w:rsidRPr="008D78F4">
        <w:rPr>
          <w:rFonts w:eastAsia="Calibri" w:cs="Arial"/>
          <w:i/>
          <w:iCs/>
          <w:sz w:val="16"/>
          <w:szCs w:val="16"/>
        </w:rPr>
        <w:t xml:space="preserve">Sources: IRENA, &lt; </w:t>
      </w:r>
      <w:hyperlink r:id="rId60" w:history="1">
        <w:r w:rsidRPr="008D78F4">
          <w:rPr>
            <w:rFonts w:eastAsia="Calibri" w:cs="Arial"/>
            <w:i/>
            <w:iCs/>
            <w:color w:val="0563C1"/>
            <w:sz w:val="16"/>
            <w:szCs w:val="16"/>
            <w:u w:val="single"/>
          </w:rPr>
          <w:t>https://www.irena.org/publications/2020/Dec/Renewables-Readiness-Assessment-El-Salvador-ES</w:t>
        </w:r>
      </w:hyperlink>
      <w:r w:rsidRPr="008D78F4">
        <w:rPr>
          <w:rFonts w:eastAsia="Calibri" w:cs="Arial"/>
          <w:i/>
          <w:iCs/>
          <w:sz w:val="16"/>
          <w:szCs w:val="16"/>
        </w:rPr>
        <w:t xml:space="preserve"> &gt;; CNE &lt; </w:t>
      </w:r>
      <w:hyperlink r:id="rId61" w:history="1">
        <w:r w:rsidRPr="008D78F4">
          <w:rPr>
            <w:rFonts w:eastAsia="Calibri" w:cs="Arial"/>
            <w:i/>
            <w:iCs/>
            <w:color w:val="0563C1"/>
            <w:sz w:val="16"/>
            <w:szCs w:val="16"/>
            <w:u w:val="single"/>
          </w:rPr>
          <w:t>https://www.cne.gob.sv/</w:t>
        </w:r>
      </w:hyperlink>
      <w:r w:rsidRPr="008D78F4">
        <w:rPr>
          <w:rFonts w:eastAsia="Calibri" w:cs="Arial"/>
          <w:i/>
          <w:iCs/>
          <w:color w:val="0563C1"/>
          <w:sz w:val="16"/>
          <w:szCs w:val="16"/>
          <w:u w:val="single"/>
        </w:rPr>
        <w:t xml:space="preserve"> </w:t>
      </w:r>
      <w:r w:rsidRPr="008D78F4">
        <w:rPr>
          <w:rFonts w:eastAsia="Calibri" w:cs="Arial"/>
          <w:i/>
          <w:iCs/>
          <w:sz w:val="16"/>
          <w:szCs w:val="16"/>
        </w:rPr>
        <w:t xml:space="preserve">&gt;; SICA &lt; </w:t>
      </w:r>
      <w:hyperlink r:id="rId62" w:history="1">
        <w:r w:rsidRPr="008D78F4">
          <w:rPr>
            <w:rFonts w:eastAsia="Calibri" w:cs="Arial"/>
            <w:i/>
            <w:iCs/>
            <w:color w:val="0563C1"/>
            <w:sz w:val="16"/>
            <w:szCs w:val="16"/>
            <w:u w:val="single"/>
          </w:rPr>
          <w:t>https://www.sica.int/documentos/infografico-de-geotermia-y-sus-usos-directos_1_124299.html</w:t>
        </w:r>
      </w:hyperlink>
      <w:r w:rsidRPr="008D78F4">
        <w:rPr>
          <w:rFonts w:eastAsia="Calibri" w:cs="Arial"/>
          <w:i/>
          <w:iCs/>
          <w:sz w:val="16"/>
          <w:szCs w:val="16"/>
        </w:rPr>
        <w:t xml:space="preserve"> &gt;; SICA &lt; </w:t>
      </w:r>
      <w:hyperlink r:id="rId63" w:history="1">
        <w:r w:rsidRPr="008D78F4">
          <w:rPr>
            <w:rFonts w:eastAsia="Calibri" w:cs="Arial"/>
            <w:i/>
            <w:iCs/>
            <w:color w:val="0563C1"/>
            <w:sz w:val="16"/>
            <w:szCs w:val="16"/>
            <w:u w:val="single"/>
          </w:rPr>
          <w:t>https://www.sica.int/documentos/factsheet-proyecto-fomento-de-la-geotermia-en-centroamerica_1_124296.html</w:t>
        </w:r>
      </w:hyperlink>
      <w:r w:rsidRPr="008D78F4">
        <w:rPr>
          <w:rFonts w:eastAsia="Calibri" w:cs="Arial"/>
          <w:i/>
          <w:iCs/>
          <w:sz w:val="16"/>
          <w:szCs w:val="16"/>
        </w:rPr>
        <w:t xml:space="preserve"> &gt;.</w:t>
      </w:r>
    </w:p>
    <w:p w14:paraId="7E8CB80E" w14:textId="77777777" w:rsidR="00AE434F" w:rsidRPr="006C6356" w:rsidRDefault="00AE434F" w:rsidP="00AE434F">
      <w:pPr>
        <w:spacing w:line="240" w:lineRule="auto"/>
        <w:rPr>
          <w:rFonts w:eastAsia="Calibri" w:cs="Arial"/>
        </w:rPr>
      </w:pPr>
    </w:p>
    <w:p w14:paraId="274ADC7B" w14:textId="49AB96EC" w:rsidR="00AE434F" w:rsidRPr="00A00C99" w:rsidRDefault="00AE434F" w:rsidP="00AE434F">
      <w:pPr>
        <w:keepNext/>
        <w:tabs>
          <w:tab w:val="left" w:pos="7200"/>
        </w:tabs>
        <w:spacing w:after="120" w:line="240" w:lineRule="auto"/>
        <w:jc w:val="left"/>
        <w:rPr>
          <w:rFonts w:eastAsia="Calibri" w:cs="Arial"/>
          <w:b/>
          <w:bCs/>
          <w:szCs w:val="24"/>
        </w:rPr>
      </w:pPr>
      <w:r w:rsidRPr="00A00C99">
        <w:rPr>
          <w:rFonts w:eastAsia="Calibri" w:cs="Arial"/>
          <w:b/>
          <w:bCs/>
          <w:szCs w:val="24"/>
        </w:rPr>
        <w:t>Nicaragua</w:t>
      </w:r>
    </w:p>
    <w:tbl>
      <w:tblPr>
        <w:tblStyle w:val="Tablaconcuadrcula"/>
        <w:tblW w:w="5000" w:type="pct"/>
        <w:tblLook w:val="04A0" w:firstRow="1" w:lastRow="0" w:firstColumn="1" w:lastColumn="0" w:noHBand="0" w:noVBand="1"/>
      </w:tblPr>
      <w:tblGrid>
        <w:gridCol w:w="2799"/>
        <w:gridCol w:w="5699"/>
      </w:tblGrid>
      <w:tr w:rsidR="00AE434F" w:rsidRPr="006C6356" w14:paraId="3798B11D" w14:textId="77777777" w:rsidTr="008001B1">
        <w:tc>
          <w:tcPr>
            <w:tcW w:w="1647" w:type="pct"/>
            <w:shd w:val="clear" w:color="auto" w:fill="4472C4"/>
          </w:tcPr>
          <w:p w14:paraId="7DF93113" w14:textId="77777777" w:rsidR="00AE434F" w:rsidRPr="006C6356" w:rsidRDefault="00AE434F" w:rsidP="008001B1">
            <w:pPr>
              <w:keepNext/>
              <w:jc w:val="center"/>
              <w:rPr>
                <w:rFonts w:eastAsia="Calibri" w:cs="Arial"/>
                <w:color w:val="FFFFFF"/>
                <w:sz w:val="18"/>
                <w:szCs w:val="20"/>
              </w:rPr>
            </w:pPr>
            <w:r w:rsidRPr="006C6356">
              <w:rPr>
                <w:rFonts w:eastAsia="Calibri" w:cs="Arial"/>
                <w:color w:val="FFFFFF"/>
                <w:sz w:val="18"/>
                <w:szCs w:val="20"/>
              </w:rPr>
              <w:t>Barriers</w:t>
            </w:r>
          </w:p>
        </w:tc>
        <w:tc>
          <w:tcPr>
            <w:tcW w:w="3353" w:type="pct"/>
            <w:shd w:val="clear" w:color="auto" w:fill="4472C4"/>
          </w:tcPr>
          <w:p w14:paraId="5BDC904D" w14:textId="77777777" w:rsidR="00AE434F" w:rsidRPr="006C6356" w:rsidRDefault="00AE434F" w:rsidP="008001B1">
            <w:pPr>
              <w:keepNext/>
              <w:jc w:val="center"/>
              <w:rPr>
                <w:rFonts w:eastAsia="Calibri" w:cs="Arial"/>
                <w:color w:val="FFFFFF"/>
                <w:sz w:val="18"/>
                <w:szCs w:val="20"/>
              </w:rPr>
            </w:pPr>
            <w:r w:rsidRPr="006C6356">
              <w:rPr>
                <w:rFonts w:eastAsia="Calibri" w:cs="Arial"/>
                <w:color w:val="FFFFFF"/>
                <w:sz w:val="18"/>
                <w:szCs w:val="20"/>
              </w:rPr>
              <w:t>Description</w:t>
            </w:r>
          </w:p>
        </w:tc>
      </w:tr>
      <w:tr w:rsidR="00AE434F" w:rsidRPr="006C6356" w14:paraId="6FC3671F" w14:textId="77777777" w:rsidTr="008001B1">
        <w:tc>
          <w:tcPr>
            <w:tcW w:w="5000" w:type="pct"/>
            <w:gridSpan w:val="2"/>
          </w:tcPr>
          <w:p w14:paraId="77CF88E3" w14:textId="77777777" w:rsidR="00AE434F" w:rsidRPr="006C6356" w:rsidRDefault="00AE434F" w:rsidP="008001B1">
            <w:pPr>
              <w:keepNext/>
              <w:rPr>
                <w:rFonts w:eastAsia="Calibri" w:cs="Arial"/>
                <w:sz w:val="18"/>
                <w:szCs w:val="20"/>
              </w:rPr>
            </w:pPr>
            <w:r w:rsidRPr="006C6356">
              <w:rPr>
                <w:rFonts w:eastAsia="Calibri" w:cs="Arial"/>
                <w:sz w:val="18"/>
                <w:szCs w:val="20"/>
              </w:rPr>
              <w:t>Regulatory</w:t>
            </w:r>
          </w:p>
        </w:tc>
      </w:tr>
      <w:tr w:rsidR="00AE434F" w:rsidRPr="006C6356" w14:paraId="410F0DB2" w14:textId="77777777" w:rsidTr="008001B1">
        <w:tc>
          <w:tcPr>
            <w:tcW w:w="1647" w:type="pct"/>
          </w:tcPr>
          <w:p w14:paraId="3657F770" w14:textId="77777777" w:rsidR="00AE434F" w:rsidRPr="006C6356" w:rsidRDefault="00AE434F" w:rsidP="008001B1">
            <w:pPr>
              <w:keepNext/>
              <w:rPr>
                <w:rFonts w:eastAsia="Calibri" w:cs="Arial"/>
                <w:sz w:val="18"/>
                <w:szCs w:val="20"/>
              </w:rPr>
            </w:pPr>
          </w:p>
        </w:tc>
        <w:tc>
          <w:tcPr>
            <w:tcW w:w="3353" w:type="pct"/>
          </w:tcPr>
          <w:p w14:paraId="67BC622C" w14:textId="77777777" w:rsidR="00AE434F" w:rsidRPr="006C6356" w:rsidRDefault="00AE434F" w:rsidP="008001B1">
            <w:pPr>
              <w:keepNext/>
              <w:rPr>
                <w:rFonts w:eastAsia="Calibri" w:cs="Arial"/>
                <w:sz w:val="18"/>
                <w:szCs w:val="20"/>
              </w:rPr>
            </w:pPr>
            <w:r w:rsidRPr="006C6356">
              <w:rPr>
                <w:rFonts w:eastAsia="Calibri" w:cs="Arial"/>
                <w:sz w:val="18"/>
                <w:szCs w:val="20"/>
              </w:rPr>
              <w:t>There have been constant changes in the electricity industry's regulatory framework and is perceived legal uncertainty for investments in these fields.</w:t>
            </w:r>
          </w:p>
        </w:tc>
      </w:tr>
    </w:tbl>
    <w:p w14:paraId="2FEC37CA" w14:textId="774077B9" w:rsidR="00AE434F" w:rsidRPr="006C6356" w:rsidRDefault="0016708A" w:rsidP="00AE434F">
      <w:pPr>
        <w:spacing w:line="240" w:lineRule="auto"/>
        <w:rPr>
          <w:rFonts w:eastAsia="Calibri" w:cs="Arial"/>
        </w:rPr>
      </w:pPr>
      <w:r w:rsidRPr="00AE434F">
        <w:rPr>
          <w:rFonts w:eastAsia="Calibri" w:cs="Arial"/>
          <w:i/>
          <w:iCs/>
          <w:sz w:val="16"/>
          <w:szCs w:val="18"/>
        </w:rPr>
        <w:t>Source: https://www.enatrel.gob.ni/wp-content/uploads/2017/05/Ley-No.-1056-Ley-de-Aseguramiento-Soberano-y-Garantia-del-Suministro-de-la-Energia-Electrica.pdf</w:t>
      </w:r>
    </w:p>
    <w:p w14:paraId="1425041F" w14:textId="3DF7F69F" w:rsidR="00AE434F" w:rsidRPr="00AE434F" w:rsidRDefault="00AE434F" w:rsidP="00AE434F">
      <w:pPr>
        <w:keepNext/>
        <w:tabs>
          <w:tab w:val="left" w:pos="7200"/>
        </w:tabs>
        <w:spacing w:after="120" w:line="240" w:lineRule="auto"/>
        <w:jc w:val="left"/>
        <w:rPr>
          <w:rFonts w:eastAsia="Calibri" w:cs="Arial"/>
          <w:b/>
          <w:bCs/>
          <w:szCs w:val="24"/>
        </w:rPr>
      </w:pPr>
      <w:r w:rsidRPr="00AE434F">
        <w:rPr>
          <w:rFonts w:eastAsia="Calibri" w:cs="Arial"/>
          <w:b/>
          <w:bCs/>
          <w:szCs w:val="24"/>
        </w:rPr>
        <w:t>Costa Rica</w:t>
      </w:r>
    </w:p>
    <w:tbl>
      <w:tblPr>
        <w:tblStyle w:val="Tablaconcuadrcula"/>
        <w:tblW w:w="5000" w:type="pct"/>
        <w:tblLook w:val="04A0" w:firstRow="1" w:lastRow="0" w:firstColumn="1" w:lastColumn="0" w:noHBand="0" w:noVBand="1"/>
      </w:tblPr>
      <w:tblGrid>
        <w:gridCol w:w="2799"/>
        <w:gridCol w:w="5699"/>
      </w:tblGrid>
      <w:tr w:rsidR="00AE434F" w:rsidRPr="006C6356" w14:paraId="336DDB0C" w14:textId="77777777" w:rsidTr="008001B1">
        <w:tc>
          <w:tcPr>
            <w:tcW w:w="1647" w:type="pct"/>
            <w:shd w:val="clear" w:color="auto" w:fill="4472C4"/>
          </w:tcPr>
          <w:p w14:paraId="6B1BD487" w14:textId="77777777" w:rsidR="00AE434F" w:rsidRPr="006C6356" w:rsidRDefault="00AE434F" w:rsidP="008001B1">
            <w:pPr>
              <w:jc w:val="center"/>
              <w:rPr>
                <w:rFonts w:eastAsia="Calibri" w:cs="Arial"/>
                <w:color w:val="FFFFFF"/>
                <w:sz w:val="18"/>
                <w:szCs w:val="20"/>
              </w:rPr>
            </w:pPr>
            <w:r w:rsidRPr="006C6356">
              <w:rPr>
                <w:rFonts w:eastAsia="Calibri" w:cs="Arial"/>
                <w:color w:val="FFFFFF"/>
                <w:sz w:val="18"/>
                <w:szCs w:val="20"/>
              </w:rPr>
              <w:t>Barriers</w:t>
            </w:r>
          </w:p>
        </w:tc>
        <w:tc>
          <w:tcPr>
            <w:tcW w:w="3353" w:type="pct"/>
            <w:shd w:val="clear" w:color="auto" w:fill="4472C4"/>
          </w:tcPr>
          <w:p w14:paraId="25B532E2" w14:textId="77777777" w:rsidR="00AE434F" w:rsidRPr="006C6356" w:rsidRDefault="00AE434F" w:rsidP="008001B1">
            <w:pPr>
              <w:jc w:val="center"/>
              <w:rPr>
                <w:rFonts w:eastAsia="Calibri" w:cs="Arial"/>
                <w:color w:val="FFFFFF"/>
                <w:sz w:val="18"/>
                <w:szCs w:val="20"/>
              </w:rPr>
            </w:pPr>
            <w:r w:rsidRPr="006C6356">
              <w:rPr>
                <w:rFonts w:eastAsia="Calibri" w:cs="Arial"/>
                <w:color w:val="FFFFFF"/>
                <w:sz w:val="18"/>
                <w:szCs w:val="20"/>
              </w:rPr>
              <w:t>Description</w:t>
            </w:r>
          </w:p>
        </w:tc>
      </w:tr>
      <w:tr w:rsidR="00AE434F" w:rsidRPr="006C6356" w14:paraId="7D6AD227" w14:textId="77777777" w:rsidTr="008001B1">
        <w:tc>
          <w:tcPr>
            <w:tcW w:w="5000" w:type="pct"/>
            <w:gridSpan w:val="2"/>
          </w:tcPr>
          <w:p w14:paraId="18793820" w14:textId="77777777" w:rsidR="00AE434F" w:rsidRPr="006C6356" w:rsidRDefault="00AE434F" w:rsidP="008001B1">
            <w:pPr>
              <w:rPr>
                <w:rFonts w:eastAsia="Calibri" w:cs="Arial"/>
                <w:sz w:val="18"/>
                <w:szCs w:val="20"/>
              </w:rPr>
            </w:pPr>
            <w:r w:rsidRPr="006C6356">
              <w:rPr>
                <w:rFonts w:eastAsia="Calibri" w:cs="Arial"/>
                <w:sz w:val="18"/>
                <w:szCs w:val="20"/>
              </w:rPr>
              <w:t>Regulatory</w:t>
            </w:r>
          </w:p>
        </w:tc>
      </w:tr>
      <w:tr w:rsidR="00AE434F" w:rsidRPr="006C6356" w14:paraId="2BE1DA92" w14:textId="77777777" w:rsidTr="008001B1">
        <w:tc>
          <w:tcPr>
            <w:tcW w:w="1647" w:type="pct"/>
          </w:tcPr>
          <w:p w14:paraId="060D1AA8" w14:textId="77777777" w:rsidR="00AE434F" w:rsidRPr="006C6356" w:rsidRDefault="00AE434F" w:rsidP="008001B1">
            <w:pPr>
              <w:rPr>
                <w:rFonts w:eastAsia="Calibri" w:cs="Arial"/>
                <w:sz w:val="18"/>
                <w:szCs w:val="20"/>
              </w:rPr>
            </w:pPr>
            <w:r w:rsidRPr="006C6356">
              <w:rPr>
                <w:rFonts w:eastAsia="Calibri" w:cs="Arial"/>
                <w:sz w:val="18"/>
                <w:szCs w:val="20"/>
              </w:rPr>
              <w:t>Art.44 Distributed Generation Regulation for Self-Consumption N° 39220-MINAE</w:t>
            </w:r>
          </w:p>
        </w:tc>
        <w:tc>
          <w:tcPr>
            <w:tcW w:w="3353" w:type="pct"/>
          </w:tcPr>
          <w:p w14:paraId="3FC45581" w14:textId="77777777" w:rsidR="00AE434F" w:rsidRPr="006C6356" w:rsidRDefault="00AE434F" w:rsidP="008001B1">
            <w:pPr>
              <w:rPr>
                <w:rFonts w:eastAsia="Calibri" w:cs="Arial"/>
                <w:sz w:val="18"/>
                <w:szCs w:val="20"/>
              </w:rPr>
            </w:pPr>
            <w:r w:rsidRPr="006C6356">
              <w:rPr>
                <w:rFonts w:eastAsia="Calibri" w:cs="Arial"/>
                <w:sz w:val="18"/>
                <w:szCs w:val="20"/>
              </w:rPr>
              <w:t>The maximum capacity of all generation systems connected to the same circuit, including the proposed system, shall not exceed fifteen percent (15%) of the maximum annual demand of the circuit.</w:t>
            </w:r>
          </w:p>
          <w:p w14:paraId="6A1111B9" w14:textId="77777777" w:rsidR="00AE434F" w:rsidRPr="006C6356" w:rsidRDefault="00AE434F" w:rsidP="008001B1">
            <w:pPr>
              <w:rPr>
                <w:rFonts w:eastAsia="Calibri" w:cs="Arial"/>
                <w:sz w:val="18"/>
                <w:szCs w:val="20"/>
              </w:rPr>
            </w:pPr>
            <w:r w:rsidRPr="006C6356">
              <w:rPr>
                <w:rFonts w:eastAsia="Calibri" w:cs="Arial"/>
                <w:sz w:val="18"/>
                <w:szCs w:val="20"/>
              </w:rPr>
              <w:t>Due to unspecified criteria, this limit was imposed, which does not contribute to the growth of distributed generation systems, protecting the distribution company.</w:t>
            </w:r>
          </w:p>
        </w:tc>
      </w:tr>
      <w:tr w:rsidR="00AE434F" w:rsidRPr="006C6356" w14:paraId="19D0BD46" w14:textId="77777777" w:rsidTr="008001B1">
        <w:tc>
          <w:tcPr>
            <w:tcW w:w="1647" w:type="pct"/>
          </w:tcPr>
          <w:p w14:paraId="128AF041" w14:textId="77777777" w:rsidR="00AE434F" w:rsidRPr="006C6356" w:rsidRDefault="00AE434F" w:rsidP="008001B1">
            <w:pPr>
              <w:rPr>
                <w:rFonts w:eastAsia="Calibri" w:cs="Arial"/>
                <w:sz w:val="18"/>
                <w:szCs w:val="20"/>
              </w:rPr>
            </w:pPr>
            <w:r w:rsidRPr="006C6356">
              <w:rPr>
                <w:rFonts w:eastAsia="Calibri" w:cs="Arial"/>
                <w:sz w:val="18"/>
                <w:szCs w:val="20"/>
              </w:rPr>
              <w:t>Art. 34 Distributed Generation Regulation for Self-Consumption N° 39220-MINAE.</w:t>
            </w:r>
          </w:p>
        </w:tc>
        <w:tc>
          <w:tcPr>
            <w:tcW w:w="3353" w:type="pct"/>
          </w:tcPr>
          <w:p w14:paraId="772F9F96" w14:textId="77777777" w:rsidR="00AE434F" w:rsidRPr="006C6356" w:rsidRDefault="00AE434F" w:rsidP="008001B1">
            <w:pPr>
              <w:rPr>
                <w:rFonts w:eastAsia="Calibri" w:cs="Arial"/>
                <w:sz w:val="18"/>
                <w:szCs w:val="20"/>
              </w:rPr>
            </w:pPr>
            <w:r w:rsidRPr="006C6356">
              <w:rPr>
                <w:rFonts w:eastAsia="Calibri" w:cs="Arial"/>
                <w:sz w:val="18"/>
                <w:szCs w:val="20"/>
              </w:rPr>
              <w:t xml:space="preserve">The producer-consumer may only withdraw up to 49% of the energy deposited in the distribution network. </w:t>
            </w:r>
          </w:p>
          <w:p w14:paraId="790A439C" w14:textId="77777777" w:rsidR="00AE434F" w:rsidRPr="006C6356" w:rsidRDefault="00AE434F" w:rsidP="008001B1">
            <w:pPr>
              <w:rPr>
                <w:rFonts w:eastAsia="Calibri" w:cs="Arial"/>
                <w:sz w:val="18"/>
                <w:szCs w:val="20"/>
              </w:rPr>
            </w:pPr>
            <w:r w:rsidRPr="006C6356">
              <w:rPr>
                <w:rFonts w:eastAsia="Calibri" w:cs="Arial"/>
                <w:sz w:val="18"/>
                <w:szCs w:val="20"/>
              </w:rPr>
              <w:t>This criterion does not foster the injection of electricity not consumed to the grid.</w:t>
            </w:r>
          </w:p>
        </w:tc>
      </w:tr>
      <w:tr w:rsidR="00AE434F" w:rsidRPr="006C6356" w14:paraId="7A442F15" w14:textId="77777777" w:rsidTr="008001B1">
        <w:tc>
          <w:tcPr>
            <w:tcW w:w="1647" w:type="pct"/>
          </w:tcPr>
          <w:p w14:paraId="77F9D4CF" w14:textId="77777777" w:rsidR="00AE434F" w:rsidRPr="006C6356" w:rsidRDefault="00AE434F" w:rsidP="008001B1">
            <w:pPr>
              <w:rPr>
                <w:rFonts w:eastAsia="Calibri" w:cs="Arial"/>
                <w:sz w:val="18"/>
                <w:szCs w:val="20"/>
              </w:rPr>
            </w:pPr>
            <w:r w:rsidRPr="006C6356">
              <w:rPr>
                <w:rFonts w:eastAsia="Calibri" w:cs="Arial"/>
                <w:sz w:val="18"/>
                <w:szCs w:val="20"/>
              </w:rPr>
              <w:t>Art. 13 Distributed Generation Regulation for Self-Consumption N° 39220-MINAE.</w:t>
            </w:r>
          </w:p>
        </w:tc>
        <w:tc>
          <w:tcPr>
            <w:tcW w:w="3353" w:type="pct"/>
          </w:tcPr>
          <w:p w14:paraId="4665F3BF" w14:textId="77777777" w:rsidR="00AE434F" w:rsidRPr="006C6356" w:rsidRDefault="00AE434F" w:rsidP="008001B1">
            <w:pPr>
              <w:rPr>
                <w:rFonts w:eastAsia="Calibri" w:cs="Arial"/>
                <w:sz w:val="18"/>
                <w:szCs w:val="20"/>
              </w:rPr>
            </w:pPr>
            <w:r w:rsidRPr="006C6356">
              <w:rPr>
                <w:rFonts w:eastAsia="Calibri" w:cs="Arial"/>
                <w:sz w:val="18"/>
                <w:szCs w:val="20"/>
              </w:rPr>
              <w:t>The electricity produced by RE must be consumed at the same place that is generated.</w:t>
            </w:r>
          </w:p>
          <w:p w14:paraId="5044CB9D" w14:textId="77777777" w:rsidR="00AE434F" w:rsidRPr="006C6356" w:rsidRDefault="00AE434F" w:rsidP="008001B1">
            <w:pPr>
              <w:rPr>
                <w:rFonts w:eastAsia="Calibri" w:cs="Arial"/>
                <w:sz w:val="18"/>
                <w:szCs w:val="20"/>
              </w:rPr>
            </w:pPr>
            <w:r w:rsidRPr="006C6356">
              <w:rPr>
                <w:rFonts w:eastAsia="Calibri" w:cs="Arial"/>
                <w:sz w:val="18"/>
                <w:szCs w:val="20"/>
              </w:rPr>
              <w:t>So, the producer cannot consume its own electricity in a different location.</w:t>
            </w:r>
          </w:p>
        </w:tc>
      </w:tr>
      <w:tr w:rsidR="00AE434F" w:rsidRPr="006C6356" w14:paraId="0C795598" w14:textId="77777777" w:rsidTr="008001B1">
        <w:tc>
          <w:tcPr>
            <w:tcW w:w="1647" w:type="pct"/>
          </w:tcPr>
          <w:p w14:paraId="24CF2BCC" w14:textId="77777777" w:rsidR="00AE434F" w:rsidRPr="006C6356" w:rsidRDefault="00AE434F" w:rsidP="008001B1">
            <w:pPr>
              <w:rPr>
                <w:rFonts w:eastAsia="Calibri" w:cs="Arial"/>
                <w:sz w:val="18"/>
                <w:szCs w:val="20"/>
              </w:rPr>
            </w:pPr>
            <w:r w:rsidRPr="006C6356">
              <w:rPr>
                <w:rFonts w:eastAsia="Calibri" w:cs="Arial"/>
                <w:sz w:val="18"/>
                <w:szCs w:val="20"/>
              </w:rPr>
              <w:t>Law No.5961 Declares as public interest the Geothermal Resources</w:t>
            </w:r>
          </w:p>
        </w:tc>
        <w:tc>
          <w:tcPr>
            <w:tcW w:w="3353" w:type="pct"/>
          </w:tcPr>
          <w:p w14:paraId="3ACFEBA1" w14:textId="77777777" w:rsidR="00AE434F" w:rsidRPr="006C6356" w:rsidRDefault="00AE434F" w:rsidP="008001B1">
            <w:pPr>
              <w:rPr>
                <w:rFonts w:eastAsia="Calibri" w:cs="Arial"/>
                <w:sz w:val="18"/>
                <w:szCs w:val="20"/>
              </w:rPr>
            </w:pPr>
            <w:r w:rsidRPr="006C6356">
              <w:rPr>
                <w:rFonts w:eastAsia="Calibri" w:cs="Arial"/>
                <w:sz w:val="18"/>
                <w:szCs w:val="20"/>
              </w:rPr>
              <w:t>The research, exploration, and exploitation of the country's geothermal resources will be the exclusive responsibility of the Costa Rican Electricity Institute. There are no definitions of low enthalpy and high enthalpy.</w:t>
            </w:r>
          </w:p>
          <w:p w14:paraId="558F5402" w14:textId="77777777" w:rsidR="00AE434F" w:rsidRPr="006C6356" w:rsidRDefault="00AE434F" w:rsidP="008001B1">
            <w:pPr>
              <w:rPr>
                <w:rFonts w:eastAsia="Calibri" w:cs="Arial"/>
                <w:sz w:val="18"/>
                <w:szCs w:val="20"/>
              </w:rPr>
            </w:pPr>
            <w:r w:rsidRPr="006C6356">
              <w:rPr>
                <w:rFonts w:eastAsia="Calibri" w:cs="Arial"/>
                <w:sz w:val="18"/>
                <w:szCs w:val="20"/>
              </w:rPr>
              <w:t>Geothermal potential with different temperatures and pressures not unique to ICE has not been explored or exploited widely.</w:t>
            </w:r>
          </w:p>
          <w:p w14:paraId="7696A65E" w14:textId="77777777" w:rsidR="00AE434F" w:rsidRPr="006C6356" w:rsidRDefault="00AE434F" w:rsidP="008001B1">
            <w:pPr>
              <w:rPr>
                <w:rFonts w:eastAsia="Calibri" w:cs="Arial"/>
                <w:sz w:val="18"/>
                <w:szCs w:val="20"/>
              </w:rPr>
            </w:pPr>
            <w:r w:rsidRPr="006C6356">
              <w:rPr>
                <w:rFonts w:eastAsia="Calibri" w:cs="Arial"/>
                <w:sz w:val="18"/>
                <w:szCs w:val="20"/>
              </w:rPr>
              <w:t xml:space="preserve">If the law is not changed specifying definitions for low and high enthalpy and the possibility of exploring and exploiting low enthalpy springs for private or public entities different from ICE it wouldn´t be possible to create markets around the geothermal low enthalpy potential.  </w:t>
            </w:r>
          </w:p>
        </w:tc>
      </w:tr>
      <w:tr w:rsidR="00AE434F" w:rsidRPr="006C6356" w14:paraId="05370CD3" w14:textId="77777777" w:rsidTr="008001B1">
        <w:tc>
          <w:tcPr>
            <w:tcW w:w="5000" w:type="pct"/>
            <w:gridSpan w:val="2"/>
          </w:tcPr>
          <w:p w14:paraId="25D55BFF" w14:textId="77777777" w:rsidR="00AE434F" w:rsidRPr="006C6356" w:rsidRDefault="00AE434F" w:rsidP="008001B1">
            <w:pPr>
              <w:rPr>
                <w:rFonts w:eastAsia="Calibri" w:cs="Arial"/>
                <w:sz w:val="18"/>
                <w:szCs w:val="20"/>
              </w:rPr>
            </w:pPr>
            <w:r w:rsidRPr="006C6356">
              <w:rPr>
                <w:rFonts w:eastAsia="Calibri" w:cs="Arial"/>
                <w:sz w:val="18"/>
                <w:szCs w:val="20"/>
              </w:rPr>
              <w:t>Technical</w:t>
            </w:r>
          </w:p>
        </w:tc>
      </w:tr>
      <w:tr w:rsidR="00AE434F" w:rsidRPr="006C6356" w14:paraId="39CD9C6C" w14:textId="77777777" w:rsidTr="008001B1">
        <w:tc>
          <w:tcPr>
            <w:tcW w:w="1647" w:type="pct"/>
          </w:tcPr>
          <w:p w14:paraId="2BF39D32" w14:textId="77777777" w:rsidR="00AE434F" w:rsidRPr="006C6356" w:rsidRDefault="00AE434F" w:rsidP="008001B1">
            <w:pPr>
              <w:rPr>
                <w:rFonts w:eastAsia="Calibri" w:cs="Arial"/>
                <w:sz w:val="18"/>
                <w:szCs w:val="20"/>
              </w:rPr>
            </w:pPr>
            <w:r w:rsidRPr="006C6356">
              <w:rPr>
                <w:rFonts w:eastAsia="Calibri" w:cs="Arial"/>
                <w:sz w:val="18"/>
                <w:szCs w:val="20"/>
              </w:rPr>
              <w:t>Low enthalpy geothermal technologies</w:t>
            </w:r>
          </w:p>
        </w:tc>
        <w:tc>
          <w:tcPr>
            <w:tcW w:w="3353" w:type="pct"/>
          </w:tcPr>
          <w:p w14:paraId="3BE256E3" w14:textId="77777777" w:rsidR="00AE434F" w:rsidRPr="006C6356" w:rsidRDefault="00AE434F" w:rsidP="008001B1">
            <w:pPr>
              <w:rPr>
                <w:rFonts w:eastAsia="Calibri" w:cs="Arial"/>
                <w:sz w:val="18"/>
                <w:szCs w:val="20"/>
              </w:rPr>
            </w:pPr>
            <w:r w:rsidRPr="006C6356">
              <w:rPr>
                <w:rFonts w:eastAsia="Calibri" w:cs="Arial"/>
                <w:sz w:val="18"/>
                <w:szCs w:val="20"/>
              </w:rPr>
              <w:t>There is not enough knowledge on low enthalpy geothermal technologies for industrial uses.</w:t>
            </w:r>
          </w:p>
          <w:p w14:paraId="752C267E" w14:textId="77777777" w:rsidR="00AE434F" w:rsidRPr="006C6356" w:rsidRDefault="00AE434F" w:rsidP="008001B1">
            <w:pPr>
              <w:rPr>
                <w:rFonts w:eastAsia="Calibri" w:cs="Arial"/>
                <w:sz w:val="18"/>
                <w:szCs w:val="20"/>
              </w:rPr>
            </w:pPr>
            <w:r w:rsidRPr="006C6356">
              <w:rPr>
                <w:rFonts w:eastAsia="Calibri" w:cs="Arial"/>
                <w:sz w:val="18"/>
                <w:szCs w:val="20"/>
              </w:rPr>
              <w:t>So, it´s essential to change the law to impel the exploration and exploitation of geothermal low enthalpy potential.</w:t>
            </w:r>
          </w:p>
        </w:tc>
      </w:tr>
    </w:tbl>
    <w:p w14:paraId="1FF69D66" w14:textId="77777777" w:rsidR="00AE434F" w:rsidRPr="00AE434F" w:rsidRDefault="00AE434F" w:rsidP="00AE434F">
      <w:pPr>
        <w:spacing w:line="240" w:lineRule="auto"/>
        <w:rPr>
          <w:rFonts w:eastAsia="Calibri" w:cs="Arial"/>
          <w:i/>
          <w:iCs/>
          <w:sz w:val="16"/>
          <w:szCs w:val="16"/>
        </w:rPr>
      </w:pPr>
      <w:r w:rsidRPr="00AE434F">
        <w:rPr>
          <w:rFonts w:eastAsia="Calibri" w:cs="Arial"/>
          <w:i/>
          <w:iCs/>
          <w:sz w:val="16"/>
          <w:szCs w:val="16"/>
        </w:rPr>
        <w:t>Source: Legal framework on Energy in Costa Rica, &lt;</w:t>
      </w:r>
      <w:hyperlink r:id="rId64" w:history="1">
        <w:r w:rsidRPr="00AE434F">
          <w:rPr>
            <w:rFonts w:eastAsia="Calibri" w:cs="Arial"/>
            <w:i/>
            <w:iCs/>
            <w:color w:val="0563C1"/>
            <w:sz w:val="16"/>
            <w:szCs w:val="16"/>
            <w:u w:val="single"/>
          </w:rPr>
          <w:t>https://energia.minae.go.cr/?page_id=1444</w:t>
        </w:r>
      </w:hyperlink>
      <w:r w:rsidRPr="00AE434F">
        <w:rPr>
          <w:rFonts w:eastAsia="Calibri" w:cs="Arial"/>
          <w:i/>
          <w:iCs/>
          <w:sz w:val="16"/>
          <w:szCs w:val="16"/>
          <w:u w:val="single"/>
        </w:rPr>
        <w:t xml:space="preserve"> </w:t>
      </w:r>
      <w:r w:rsidRPr="00AE434F">
        <w:rPr>
          <w:rFonts w:eastAsia="Calibri" w:cs="Arial"/>
          <w:i/>
          <w:iCs/>
          <w:sz w:val="16"/>
          <w:szCs w:val="16"/>
        </w:rPr>
        <w:t>&gt;</w:t>
      </w:r>
    </w:p>
    <w:p w14:paraId="53011471" w14:textId="77777777" w:rsidR="00AE434F" w:rsidRPr="006C6356" w:rsidRDefault="00AE434F" w:rsidP="00AE434F">
      <w:pPr>
        <w:spacing w:line="240" w:lineRule="auto"/>
        <w:rPr>
          <w:rFonts w:eastAsia="Calibri" w:cs="Arial"/>
        </w:rPr>
      </w:pPr>
    </w:p>
    <w:p w14:paraId="6B7A0A57" w14:textId="3C9C9D2A" w:rsidR="00AE434F" w:rsidRPr="00AE434F" w:rsidRDefault="00AE434F" w:rsidP="00AE434F">
      <w:pPr>
        <w:keepNext/>
        <w:tabs>
          <w:tab w:val="left" w:pos="7200"/>
        </w:tabs>
        <w:spacing w:after="120" w:line="240" w:lineRule="auto"/>
        <w:jc w:val="left"/>
        <w:rPr>
          <w:rFonts w:eastAsia="Calibri" w:cs="Arial"/>
          <w:b/>
          <w:bCs/>
          <w:szCs w:val="24"/>
        </w:rPr>
      </w:pPr>
      <w:r w:rsidRPr="00AE434F">
        <w:rPr>
          <w:rFonts w:eastAsia="Calibri" w:cs="Arial"/>
          <w:b/>
          <w:bCs/>
          <w:szCs w:val="24"/>
        </w:rPr>
        <w:t>Panama</w:t>
      </w:r>
    </w:p>
    <w:tbl>
      <w:tblPr>
        <w:tblStyle w:val="Tablaconcuadrcula"/>
        <w:tblW w:w="5000" w:type="pct"/>
        <w:tblLook w:val="04A0" w:firstRow="1" w:lastRow="0" w:firstColumn="1" w:lastColumn="0" w:noHBand="0" w:noVBand="1"/>
      </w:tblPr>
      <w:tblGrid>
        <w:gridCol w:w="2799"/>
        <w:gridCol w:w="5699"/>
      </w:tblGrid>
      <w:tr w:rsidR="00AE434F" w:rsidRPr="006C6356" w14:paraId="296AF529" w14:textId="77777777" w:rsidTr="008001B1">
        <w:tc>
          <w:tcPr>
            <w:tcW w:w="1647" w:type="pct"/>
            <w:shd w:val="clear" w:color="auto" w:fill="4472C4"/>
          </w:tcPr>
          <w:p w14:paraId="43EB9CE6" w14:textId="77777777" w:rsidR="00AE434F" w:rsidRPr="006C6356" w:rsidRDefault="00AE434F" w:rsidP="008001B1">
            <w:pPr>
              <w:keepNext/>
              <w:jc w:val="center"/>
              <w:rPr>
                <w:rFonts w:eastAsia="Calibri" w:cs="Arial"/>
                <w:color w:val="FFFFFF"/>
                <w:sz w:val="18"/>
                <w:szCs w:val="20"/>
              </w:rPr>
            </w:pPr>
            <w:r w:rsidRPr="006C6356">
              <w:rPr>
                <w:rFonts w:eastAsia="Calibri" w:cs="Arial"/>
                <w:color w:val="FFFFFF"/>
                <w:sz w:val="18"/>
                <w:szCs w:val="20"/>
              </w:rPr>
              <w:t>Barriers</w:t>
            </w:r>
          </w:p>
        </w:tc>
        <w:tc>
          <w:tcPr>
            <w:tcW w:w="3353" w:type="pct"/>
            <w:shd w:val="clear" w:color="auto" w:fill="4472C4"/>
          </w:tcPr>
          <w:p w14:paraId="40EEEF9B" w14:textId="77777777" w:rsidR="00AE434F" w:rsidRPr="006C6356" w:rsidRDefault="00AE434F" w:rsidP="008001B1">
            <w:pPr>
              <w:keepNext/>
              <w:jc w:val="center"/>
              <w:rPr>
                <w:rFonts w:eastAsia="Calibri" w:cs="Arial"/>
                <w:color w:val="FFFFFF"/>
                <w:sz w:val="18"/>
                <w:szCs w:val="20"/>
              </w:rPr>
            </w:pPr>
            <w:r w:rsidRPr="006C6356">
              <w:rPr>
                <w:rFonts w:eastAsia="Calibri" w:cs="Arial"/>
                <w:color w:val="FFFFFF"/>
                <w:sz w:val="18"/>
                <w:szCs w:val="20"/>
              </w:rPr>
              <w:t>Description</w:t>
            </w:r>
          </w:p>
        </w:tc>
      </w:tr>
      <w:tr w:rsidR="00AE434F" w:rsidRPr="006C6356" w14:paraId="08347144" w14:textId="77777777" w:rsidTr="008001B1">
        <w:tc>
          <w:tcPr>
            <w:tcW w:w="5000" w:type="pct"/>
            <w:gridSpan w:val="2"/>
          </w:tcPr>
          <w:p w14:paraId="074BF64C" w14:textId="77777777" w:rsidR="00AE434F" w:rsidRPr="006C6356" w:rsidRDefault="00AE434F" w:rsidP="008001B1">
            <w:pPr>
              <w:keepNext/>
              <w:rPr>
                <w:rFonts w:eastAsia="Calibri" w:cs="Arial"/>
                <w:sz w:val="18"/>
                <w:szCs w:val="20"/>
              </w:rPr>
            </w:pPr>
            <w:r w:rsidRPr="006C6356">
              <w:rPr>
                <w:rFonts w:eastAsia="Calibri" w:cs="Arial"/>
                <w:sz w:val="18"/>
                <w:szCs w:val="20"/>
              </w:rPr>
              <w:t>Regulatory</w:t>
            </w:r>
          </w:p>
        </w:tc>
      </w:tr>
      <w:tr w:rsidR="00AE434F" w:rsidRPr="006C6356" w14:paraId="59F8D7D7" w14:textId="77777777" w:rsidTr="008001B1">
        <w:tc>
          <w:tcPr>
            <w:tcW w:w="1647" w:type="pct"/>
          </w:tcPr>
          <w:p w14:paraId="5EEA0542" w14:textId="77777777" w:rsidR="00AE434F" w:rsidRPr="006C6356" w:rsidRDefault="00AE434F" w:rsidP="008001B1">
            <w:pPr>
              <w:keepNext/>
              <w:rPr>
                <w:rFonts w:eastAsia="Calibri" w:cs="Arial"/>
                <w:sz w:val="18"/>
                <w:szCs w:val="20"/>
              </w:rPr>
            </w:pPr>
            <w:r w:rsidRPr="006C6356">
              <w:rPr>
                <w:rFonts w:eastAsia="Calibri" w:cs="Arial"/>
                <w:sz w:val="18"/>
                <w:szCs w:val="20"/>
              </w:rPr>
              <w:t>National Energy Plan 2015- 2050</w:t>
            </w:r>
          </w:p>
        </w:tc>
        <w:tc>
          <w:tcPr>
            <w:tcW w:w="3353" w:type="pct"/>
          </w:tcPr>
          <w:p w14:paraId="52D8A0B9" w14:textId="77777777" w:rsidR="00AE434F" w:rsidRPr="006C6356" w:rsidRDefault="00AE434F" w:rsidP="008001B1">
            <w:pPr>
              <w:keepNext/>
              <w:rPr>
                <w:rFonts w:eastAsia="Calibri" w:cs="Arial"/>
                <w:sz w:val="18"/>
                <w:szCs w:val="20"/>
              </w:rPr>
            </w:pPr>
            <w:r w:rsidRPr="006C6356">
              <w:rPr>
                <w:rFonts w:eastAsia="Calibri" w:cs="Arial"/>
                <w:sz w:val="18"/>
                <w:szCs w:val="20"/>
              </w:rPr>
              <w:t>In 2050, the installed capacity to produce electricity will be 76% with renewable energies (2350 MW Hydraulic, 668 MW Wind, 250 MW solar, 8.2 W Biomass) and 24% with fossil sources (2820 MW Coal, 6612 Natural Gas, 558 MW Bunker, 308 MW Diesel).</w:t>
            </w:r>
          </w:p>
          <w:p w14:paraId="5B9ABAB0" w14:textId="77777777" w:rsidR="00AE434F" w:rsidRPr="006C6356" w:rsidRDefault="00AE434F" w:rsidP="008001B1">
            <w:pPr>
              <w:keepNext/>
              <w:rPr>
                <w:rFonts w:eastAsia="Calibri" w:cs="Arial"/>
                <w:sz w:val="18"/>
                <w:szCs w:val="20"/>
              </w:rPr>
            </w:pPr>
            <w:r w:rsidRPr="006C6356">
              <w:rPr>
                <w:rFonts w:eastAsia="Calibri" w:cs="Arial"/>
                <w:sz w:val="18"/>
                <w:szCs w:val="20"/>
              </w:rPr>
              <w:t>Evaluate investment incentives under market conditions and with a focus on PPAs.</w:t>
            </w:r>
          </w:p>
        </w:tc>
      </w:tr>
      <w:tr w:rsidR="00AE434F" w:rsidRPr="006C6356" w14:paraId="5DF72FA5" w14:textId="77777777" w:rsidTr="008001B1">
        <w:tc>
          <w:tcPr>
            <w:tcW w:w="1647" w:type="pct"/>
          </w:tcPr>
          <w:p w14:paraId="3A7D2E25" w14:textId="77777777" w:rsidR="00AE434F" w:rsidRPr="006C6356" w:rsidRDefault="00AE434F" w:rsidP="008001B1">
            <w:pPr>
              <w:keepNext/>
              <w:rPr>
                <w:rFonts w:eastAsia="Calibri" w:cs="Arial"/>
                <w:sz w:val="18"/>
                <w:szCs w:val="20"/>
              </w:rPr>
            </w:pPr>
            <w:r w:rsidRPr="006C6356">
              <w:rPr>
                <w:rFonts w:eastAsia="Calibri" w:cs="Arial"/>
                <w:sz w:val="18"/>
                <w:szCs w:val="20"/>
              </w:rPr>
              <w:t>National Energy Plan 2015- 2050</w:t>
            </w:r>
          </w:p>
        </w:tc>
        <w:tc>
          <w:tcPr>
            <w:tcW w:w="3353" w:type="pct"/>
          </w:tcPr>
          <w:p w14:paraId="6F600F84" w14:textId="77777777" w:rsidR="00AE434F" w:rsidRPr="006C6356" w:rsidRDefault="00AE434F" w:rsidP="008001B1">
            <w:pPr>
              <w:keepNext/>
              <w:rPr>
                <w:rFonts w:eastAsia="Calibri" w:cs="Arial"/>
                <w:sz w:val="18"/>
                <w:szCs w:val="20"/>
              </w:rPr>
            </w:pPr>
            <w:r w:rsidRPr="006C6356">
              <w:rPr>
                <w:rFonts w:eastAsia="Calibri" w:cs="Arial"/>
                <w:sz w:val="18"/>
                <w:szCs w:val="20"/>
              </w:rPr>
              <w:t>Integrating more renewable energies into the electrical system requires planning processes that consider the uncertainties and risks associated with these energies.</w:t>
            </w:r>
          </w:p>
          <w:p w14:paraId="53401F22" w14:textId="77777777" w:rsidR="00AE434F" w:rsidRPr="006C6356" w:rsidRDefault="00AE434F" w:rsidP="008001B1">
            <w:pPr>
              <w:keepNext/>
              <w:rPr>
                <w:rFonts w:eastAsia="Calibri" w:cs="Arial"/>
                <w:sz w:val="18"/>
                <w:szCs w:val="20"/>
              </w:rPr>
            </w:pPr>
            <w:r w:rsidRPr="006C6356">
              <w:rPr>
                <w:rFonts w:eastAsia="Calibri" w:cs="Arial"/>
                <w:sz w:val="18"/>
                <w:szCs w:val="20"/>
              </w:rPr>
              <w:t>It is necessary to develop planning processes and models of the electrical system with high percentages of renewable energies and institutional strengthening of the relevant parties.</w:t>
            </w:r>
          </w:p>
        </w:tc>
      </w:tr>
      <w:tr w:rsidR="00AE434F" w:rsidRPr="006C6356" w14:paraId="7F4D4254" w14:textId="77777777" w:rsidTr="008001B1">
        <w:tc>
          <w:tcPr>
            <w:tcW w:w="1647" w:type="pct"/>
          </w:tcPr>
          <w:p w14:paraId="6EEBB40A" w14:textId="77777777" w:rsidR="00AE434F" w:rsidRPr="006C6356" w:rsidRDefault="00AE434F" w:rsidP="008001B1">
            <w:pPr>
              <w:keepNext/>
              <w:rPr>
                <w:rFonts w:eastAsia="Calibri" w:cs="Arial"/>
                <w:sz w:val="18"/>
                <w:szCs w:val="20"/>
              </w:rPr>
            </w:pPr>
            <w:r w:rsidRPr="006C6356">
              <w:rPr>
                <w:rFonts w:eastAsia="Calibri" w:cs="Arial"/>
                <w:sz w:val="18"/>
                <w:szCs w:val="20"/>
              </w:rPr>
              <w:t>National Energy Plan 2015- 2050</w:t>
            </w:r>
          </w:p>
          <w:p w14:paraId="6366E170" w14:textId="77777777" w:rsidR="00AE434F" w:rsidRPr="006C6356" w:rsidRDefault="00AE434F" w:rsidP="008001B1">
            <w:pPr>
              <w:keepNext/>
              <w:rPr>
                <w:rFonts w:eastAsia="Calibri" w:cs="Arial"/>
                <w:sz w:val="18"/>
                <w:szCs w:val="20"/>
              </w:rPr>
            </w:pPr>
            <w:r w:rsidRPr="006C6356">
              <w:rPr>
                <w:rFonts w:eastAsia="Calibri" w:cs="Arial"/>
                <w:sz w:val="18"/>
                <w:szCs w:val="20"/>
              </w:rPr>
              <w:t>Geothermal Source potential</w:t>
            </w:r>
          </w:p>
        </w:tc>
        <w:tc>
          <w:tcPr>
            <w:tcW w:w="3353" w:type="pct"/>
          </w:tcPr>
          <w:p w14:paraId="7CE35EA0" w14:textId="77777777" w:rsidR="00AE434F" w:rsidRPr="0016708A" w:rsidRDefault="00AE434F" w:rsidP="008001B1">
            <w:pPr>
              <w:keepNext/>
              <w:rPr>
                <w:rFonts w:eastAsia="Calibri" w:cs="Arial"/>
                <w:sz w:val="18"/>
                <w:szCs w:val="20"/>
              </w:rPr>
            </w:pPr>
            <w:r w:rsidRPr="0016708A">
              <w:rPr>
                <w:rFonts w:eastAsia="Calibri" w:cs="Arial"/>
                <w:sz w:val="18"/>
                <w:szCs w:val="20"/>
              </w:rPr>
              <w:t xml:space="preserve">There are no detailed studies to estimate the geothermal potential and evaluate its use. </w:t>
            </w:r>
          </w:p>
          <w:p w14:paraId="39B21144" w14:textId="4FF49792" w:rsidR="00AE434F" w:rsidRPr="0016708A" w:rsidRDefault="00C47868" w:rsidP="008001B1">
            <w:pPr>
              <w:keepNext/>
              <w:rPr>
                <w:rFonts w:eastAsia="Calibri" w:cs="Arial"/>
                <w:sz w:val="18"/>
                <w:szCs w:val="20"/>
              </w:rPr>
            </w:pPr>
            <w:r w:rsidRPr="0016708A">
              <w:rPr>
                <w:rFonts w:eastAsia="Calibri" w:cs="Arial"/>
                <w:sz w:val="18"/>
                <w:szCs w:val="20"/>
              </w:rPr>
              <w:t>P</w:t>
            </w:r>
            <w:r w:rsidR="00AE434F" w:rsidRPr="0016708A">
              <w:rPr>
                <w:rFonts w:eastAsia="Calibri" w:cs="Arial"/>
                <w:sz w:val="18"/>
                <w:szCs w:val="20"/>
              </w:rPr>
              <w:t>ublic policies, investments, and technical capacities for these studies</w:t>
            </w:r>
            <w:r w:rsidRPr="0016708A">
              <w:rPr>
                <w:rFonts w:eastAsia="Calibri" w:cs="Arial"/>
                <w:sz w:val="18"/>
                <w:szCs w:val="20"/>
              </w:rPr>
              <w:t xml:space="preserve"> are required</w:t>
            </w:r>
            <w:r w:rsidR="00AE434F" w:rsidRPr="0016708A">
              <w:rPr>
                <w:rFonts w:eastAsia="Calibri" w:cs="Arial"/>
                <w:sz w:val="18"/>
                <w:szCs w:val="20"/>
              </w:rPr>
              <w:t>.</w:t>
            </w:r>
          </w:p>
        </w:tc>
      </w:tr>
      <w:tr w:rsidR="00AE434F" w:rsidRPr="006C6356" w14:paraId="7AC7586A" w14:textId="77777777" w:rsidTr="008001B1">
        <w:tc>
          <w:tcPr>
            <w:tcW w:w="5000" w:type="pct"/>
            <w:gridSpan w:val="2"/>
          </w:tcPr>
          <w:p w14:paraId="51F68E8B" w14:textId="77777777" w:rsidR="00AE434F" w:rsidRPr="0016708A" w:rsidRDefault="00AE434F" w:rsidP="008001B1">
            <w:pPr>
              <w:keepNext/>
              <w:rPr>
                <w:rFonts w:eastAsia="Calibri" w:cs="Arial"/>
                <w:sz w:val="18"/>
                <w:szCs w:val="20"/>
              </w:rPr>
            </w:pPr>
            <w:r w:rsidRPr="0016708A">
              <w:rPr>
                <w:rFonts w:eastAsia="Calibri" w:cs="Arial"/>
                <w:sz w:val="18"/>
                <w:szCs w:val="20"/>
              </w:rPr>
              <w:t>Technical</w:t>
            </w:r>
          </w:p>
        </w:tc>
      </w:tr>
      <w:tr w:rsidR="00AE434F" w:rsidRPr="006C6356" w14:paraId="5D04408E" w14:textId="77777777" w:rsidTr="008001B1">
        <w:tc>
          <w:tcPr>
            <w:tcW w:w="1647" w:type="pct"/>
          </w:tcPr>
          <w:p w14:paraId="4C97C641" w14:textId="77777777" w:rsidR="00AE434F" w:rsidRPr="006C6356" w:rsidRDefault="00AE434F" w:rsidP="008001B1">
            <w:pPr>
              <w:keepNext/>
              <w:rPr>
                <w:rFonts w:eastAsia="Calibri" w:cs="Arial"/>
                <w:sz w:val="18"/>
                <w:szCs w:val="20"/>
              </w:rPr>
            </w:pPr>
            <w:r w:rsidRPr="006C6356">
              <w:rPr>
                <w:rFonts w:eastAsia="Calibri" w:cs="Arial"/>
                <w:sz w:val="18"/>
                <w:szCs w:val="20"/>
              </w:rPr>
              <w:t>National Energy Plan Sceneries 2015- 2050</w:t>
            </w:r>
          </w:p>
          <w:p w14:paraId="759D8D3E" w14:textId="77777777" w:rsidR="00AE434F" w:rsidRPr="006C6356" w:rsidRDefault="00AE434F" w:rsidP="008001B1">
            <w:pPr>
              <w:keepNext/>
              <w:rPr>
                <w:rFonts w:eastAsia="Calibri" w:cs="Arial"/>
                <w:sz w:val="18"/>
                <w:szCs w:val="20"/>
              </w:rPr>
            </w:pPr>
          </w:p>
        </w:tc>
        <w:tc>
          <w:tcPr>
            <w:tcW w:w="3353" w:type="pct"/>
          </w:tcPr>
          <w:p w14:paraId="3840775D" w14:textId="77777777" w:rsidR="00AE434F" w:rsidRPr="0016708A" w:rsidRDefault="00AE434F" w:rsidP="008001B1">
            <w:pPr>
              <w:keepNext/>
              <w:rPr>
                <w:rFonts w:eastAsia="Calibri" w:cs="Arial"/>
                <w:sz w:val="18"/>
                <w:szCs w:val="20"/>
              </w:rPr>
            </w:pPr>
            <w:r w:rsidRPr="0016708A">
              <w:rPr>
                <w:rFonts w:eastAsia="Calibri" w:cs="Arial"/>
                <w:sz w:val="18"/>
                <w:szCs w:val="20"/>
              </w:rPr>
              <w:t>In 2050 there will be an installed capacity of up to 878 MW with solar panels in the residential sector.</w:t>
            </w:r>
          </w:p>
          <w:p w14:paraId="1C2FFDBC" w14:textId="6D451B6B" w:rsidR="00AE434F" w:rsidRPr="0016708A" w:rsidRDefault="00C47868" w:rsidP="008001B1">
            <w:pPr>
              <w:keepNext/>
              <w:rPr>
                <w:rFonts w:eastAsia="Calibri" w:cs="Arial"/>
                <w:sz w:val="18"/>
                <w:szCs w:val="20"/>
              </w:rPr>
            </w:pPr>
            <w:r w:rsidRPr="0016708A">
              <w:rPr>
                <w:rFonts w:eastAsia="Calibri" w:cs="Arial"/>
                <w:sz w:val="18"/>
                <w:szCs w:val="20"/>
              </w:rPr>
              <w:t>A</w:t>
            </w:r>
            <w:r w:rsidR="00AE434F" w:rsidRPr="0016708A">
              <w:rPr>
                <w:rFonts w:eastAsia="Calibri" w:cs="Arial"/>
                <w:sz w:val="18"/>
                <w:szCs w:val="20"/>
              </w:rPr>
              <w:t xml:space="preserve"> wide range of associated products and services to install these solar panels</w:t>
            </w:r>
            <w:r w:rsidRPr="0016708A">
              <w:rPr>
                <w:rFonts w:eastAsia="Calibri" w:cs="Arial"/>
                <w:sz w:val="18"/>
                <w:szCs w:val="20"/>
              </w:rPr>
              <w:t xml:space="preserve"> is required</w:t>
            </w:r>
            <w:r w:rsidR="00AE434F" w:rsidRPr="0016708A">
              <w:rPr>
                <w:rFonts w:eastAsia="Calibri" w:cs="Arial"/>
                <w:sz w:val="18"/>
                <w:szCs w:val="20"/>
              </w:rPr>
              <w:t>.</w:t>
            </w:r>
          </w:p>
          <w:p w14:paraId="7825CBB1" w14:textId="77777777" w:rsidR="00AE434F" w:rsidRPr="0016708A" w:rsidRDefault="00AE434F" w:rsidP="008001B1">
            <w:pPr>
              <w:keepNext/>
              <w:rPr>
                <w:rFonts w:eastAsia="Calibri" w:cs="Arial"/>
                <w:sz w:val="18"/>
                <w:szCs w:val="20"/>
              </w:rPr>
            </w:pPr>
            <w:r w:rsidRPr="0016708A">
              <w:rPr>
                <w:rFonts w:eastAsia="Calibri" w:cs="Arial"/>
                <w:sz w:val="18"/>
                <w:szCs w:val="20"/>
              </w:rPr>
              <w:t>It is necessary to create technical and business capacities to strengthen the wind and solar energy market.</w:t>
            </w:r>
          </w:p>
        </w:tc>
      </w:tr>
      <w:tr w:rsidR="00AE434F" w:rsidRPr="006C6356" w14:paraId="1F3CBDF1" w14:textId="77777777" w:rsidTr="008001B1">
        <w:tc>
          <w:tcPr>
            <w:tcW w:w="1647" w:type="pct"/>
          </w:tcPr>
          <w:p w14:paraId="072D8026" w14:textId="77777777" w:rsidR="00AE434F" w:rsidRPr="006C6356" w:rsidRDefault="00AE434F" w:rsidP="008001B1">
            <w:pPr>
              <w:keepNext/>
              <w:rPr>
                <w:rFonts w:eastAsia="Calibri" w:cs="Arial"/>
                <w:sz w:val="18"/>
                <w:szCs w:val="20"/>
              </w:rPr>
            </w:pPr>
            <w:r w:rsidRPr="006C6356">
              <w:rPr>
                <w:rFonts w:eastAsia="Calibri" w:cs="Arial"/>
                <w:sz w:val="18"/>
                <w:szCs w:val="20"/>
              </w:rPr>
              <w:t>National Energy Plan 2015- 2050</w:t>
            </w:r>
          </w:p>
          <w:p w14:paraId="7799EF3E" w14:textId="77777777" w:rsidR="00AE434F" w:rsidRPr="006C6356" w:rsidRDefault="00AE434F" w:rsidP="008001B1">
            <w:pPr>
              <w:keepNext/>
              <w:rPr>
                <w:rFonts w:eastAsia="Calibri" w:cs="Arial"/>
                <w:sz w:val="18"/>
                <w:szCs w:val="20"/>
              </w:rPr>
            </w:pPr>
          </w:p>
        </w:tc>
        <w:tc>
          <w:tcPr>
            <w:tcW w:w="3353" w:type="pct"/>
          </w:tcPr>
          <w:p w14:paraId="677C1BA0" w14:textId="77777777" w:rsidR="00AE434F" w:rsidRPr="006C6356" w:rsidRDefault="00AE434F" w:rsidP="008001B1">
            <w:pPr>
              <w:keepNext/>
              <w:rPr>
                <w:rFonts w:eastAsia="Calibri" w:cs="Arial"/>
                <w:sz w:val="18"/>
                <w:szCs w:val="20"/>
              </w:rPr>
            </w:pPr>
            <w:r w:rsidRPr="006C6356">
              <w:rPr>
                <w:rFonts w:eastAsia="Calibri" w:cs="Arial"/>
                <w:sz w:val="18"/>
                <w:szCs w:val="20"/>
              </w:rPr>
              <w:t>Promote the offer of photovoltaic solar generation products and services for the commercial and industrial sectors</w:t>
            </w:r>
          </w:p>
        </w:tc>
      </w:tr>
    </w:tbl>
    <w:p w14:paraId="784F80D8" w14:textId="77777777" w:rsidR="00AE434F" w:rsidRPr="00AE434F" w:rsidRDefault="00AE434F" w:rsidP="00AE434F">
      <w:pPr>
        <w:keepNext/>
        <w:spacing w:line="240" w:lineRule="auto"/>
        <w:rPr>
          <w:rFonts w:eastAsia="Calibri" w:cs="Arial"/>
          <w:i/>
          <w:iCs/>
          <w:sz w:val="16"/>
          <w:szCs w:val="16"/>
        </w:rPr>
      </w:pPr>
      <w:r w:rsidRPr="00AE434F">
        <w:rPr>
          <w:rFonts w:eastAsia="Calibri" w:cs="Arial"/>
          <w:i/>
          <w:iCs/>
          <w:sz w:val="16"/>
          <w:szCs w:val="16"/>
        </w:rPr>
        <w:t xml:space="preserve">Sources: OLADE&lt; </w:t>
      </w:r>
      <w:hyperlink r:id="rId65" w:history="1">
        <w:r w:rsidRPr="00AE434F">
          <w:rPr>
            <w:rFonts w:eastAsia="Calibri" w:cs="Arial"/>
            <w:i/>
            <w:iCs/>
            <w:color w:val="0563C1"/>
            <w:sz w:val="16"/>
            <w:szCs w:val="16"/>
            <w:u w:val="single"/>
          </w:rPr>
          <w:t>http://biblioteca.olade.org/opac-tmpl/Documentos/cg00467.pdf</w:t>
        </w:r>
      </w:hyperlink>
      <w:r w:rsidRPr="00AE434F">
        <w:rPr>
          <w:rFonts w:eastAsia="Calibri" w:cs="Arial"/>
          <w:i/>
          <w:iCs/>
          <w:sz w:val="16"/>
          <w:szCs w:val="16"/>
        </w:rPr>
        <w:t xml:space="preserve"> &gt;; IRENA &lt; ghttps://www.irena.org/-/media/Files/IRENA/Agency/Events/2016/Oct/18/National-Energy-Plan-20152050-by-Eng-Isaac-Castillo-SubSecretary-of-Energy-Panama.pdf?la=en&amp;hash=323452FABF4A8B067F609F0755C775B25D20709E &gt;; ASEP &lt; </w:t>
      </w:r>
      <w:hyperlink r:id="rId66" w:history="1">
        <w:r w:rsidRPr="00AE434F">
          <w:rPr>
            <w:rFonts w:eastAsia="Calibri" w:cs="Arial"/>
            <w:i/>
            <w:iCs/>
            <w:color w:val="0563C1"/>
            <w:sz w:val="16"/>
            <w:szCs w:val="16"/>
            <w:u w:val="single"/>
          </w:rPr>
          <w:t>https://www.asep.gob.pa/wp-content/uploads/COVER_2018/Autoconsumo_Renovables_Limpias/procedimiento_centrales_limpias_2017.pdf</w:t>
        </w:r>
      </w:hyperlink>
      <w:r w:rsidRPr="00AE434F">
        <w:rPr>
          <w:rFonts w:eastAsia="Calibri" w:cs="Arial"/>
          <w:i/>
          <w:iCs/>
          <w:sz w:val="16"/>
          <w:szCs w:val="16"/>
        </w:rPr>
        <w:t xml:space="preserve"> &gt;</w:t>
      </w:r>
    </w:p>
    <w:p w14:paraId="7121389B" w14:textId="77777777" w:rsidR="00AE434F" w:rsidRPr="00AE434F" w:rsidRDefault="00AE434F" w:rsidP="00AE434F"/>
    <w:sectPr w:rsidR="00AE434F" w:rsidRPr="00AE434F" w:rsidSect="00ED55C0">
      <w:headerReference w:type="default" r:id="rId67"/>
      <w:pgSz w:w="11906" w:h="16838" w:code="9"/>
      <w:pgMar w:top="1418" w:right="1699" w:bottom="1418" w:left="1699" w:header="0"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343B4E" w14:textId="77777777" w:rsidR="00A55DAA" w:rsidRDefault="00A55DAA" w:rsidP="004F002C">
      <w:pPr>
        <w:spacing w:after="0" w:line="240" w:lineRule="auto"/>
      </w:pPr>
      <w:r>
        <w:separator/>
      </w:r>
    </w:p>
  </w:endnote>
  <w:endnote w:type="continuationSeparator" w:id="0">
    <w:p w14:paraId="3A0C611A" w14:textId="77777777" w:rsidR="00A55DAA" w:rsidRDefault="00A55DAA" w:rsidP="004F002C">
      <w:pPr>
        <w:spacing w:after="0" w:line="240" w:lineRule="auto"/>
      </w:pPr>
      <w:r>
        <w:continuationSeparator/>
      </w:r>
    </w:p>
  </w:endnote>
  <w:endnote w:type="continuationNotice" w:id="1">
    <w:p w14:paraId="7FD4311B" w14:textId="77777777" w:rsidR="00A55DAA" w:rsidRDefault="00A55DA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venir Next LT Pro">
    <w:altName w:val="Arial"/>
    <w:charset w:val="00"/>
    <w:family w:val="swiss"/>
    <w:pitch w:val="variable"/>
    <w:sig w:usb0="800000EF" w:usb1="5000204A"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Avenir Black">
    <w:altName w:val="Calibri"/>
    <w:charset w:val="4D"/>
    <w:family w:val="swiss"/>
    <w:pitch w:val="variable"/>
    <w:sig w:usb0="800000AF" w:usb1="5000204A" w:usb2="00000000" w:usb3="00000000" w:csb0="0000009B"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venir">
    <w:altName w:val="Calibri"/>
    <w:charset w:val="4D"/>
    <w:family w:val="swiss"/>
    <w:pitch w:val="variable"/>
    <w:sig w:usb0="800000AF" w:usb1="5000204A" w:usb2="00000000" w:usb3="00000000" w:csb0="0000009B" w:csb1="00000000"/>
  </w:font>
  <w:font w:name="Cambria Math">
    <w:panose1 w:val="02040503050406030204"/>
    <w:charset w:val="00"/>
    <w:family w:val="roman"/>
    <w:pitch w:val="variable"/>
    <w:sig w:usb0="E00006FF" w:usb1="420024FF" w:usb2="02000000" w:usb3="00000000" w:csb0="0000019F" w:csb1="00000000"/>
  </w:font>
  <w:font w:name="GothamNarrow-Book">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18E6AF" w14:textId="77777777" w:rsidR="005D585A" w:rsidRDefault="005D585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AF1A5C" w14:textId="77777777" w:rsidR="005D585A" w:rsidRDefault="005D585A">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2CF46D" w14:textId="77777777" w:rsidR="005D585A" w:rsidRDefault="005D585A">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8590444"/>
      <w:docPartObj>
        <w:docPartGallery w:val="Page Numbers (Bottom of Page)"/>
        <w:docPartUnique/>
      </w:docPartObj>
    </w:sdtPr>
    <w:sdtEndPr/>
    <w:sdtContent>
      <w:p w14:paraId="6CAF5559" w14:textId="09D68FF8" w:rsidR="00653AB1" w:rsidRPr="006F3078" w:rsidRDefault="007C14AF" w:rsidP="007C14AF">
        <w:pPr>
          <w:pStyle w:val="Piedepgina"/>
          <w:ind w:right="3"/>
          <w:jc w:val="right"/>
          <w:rPr>
            <w:szCs w:val="20"/>
          </w:rPr>
        </w:pPr>
        <w:r w:rsidRPr="007C14AF">
          <w:t xml:space="preserve"> </w:t>
        </w:r>
        <w:sdt>
          <w:sdtPr>
            <w:id w:val="-1706162392"/>
            <w:docPartObj>
              <w:docPartGallery w:val="Page Numbers (Bottom of Page)"/>
              <w:docPartUnique/>
            </w:docPartObj>
          </w:sdtPr>
          <w:sdtEndPr/>
          <w:sdtContent>
            <w:sdt>
              <w:sdtPr>
                <w:rPr>
                  <w:sz w:val="18"/>
                  <w:szCs w:val="18"/>
                </w:rPr>
                <w:alias w:val="Título"/>
                <w:tag w:val=""/>
                <w:id w:val="-861270419"/>
                <w:placeholder>
                  <w:docPart w:val="A571B67E2D96492D97CE87FB5ACD2820"/>
                </w:placeholder>
                <w:dataBinding w:prefixMappings="xmlns:ns0='http://purl.org/dc/elements/1.1/' xmlns:ns1='http://schemas.openxmlformats.org/package/2006/metadata/core-properties' " w:xpath="/ns1:coreProperties[1]/ns0:title[1]" w:storeItemID="{6C3C8BC8-F283-45AE-878A-BAB7291924A1}"/>
                <w:text/>
              </w:sdtPr>
              <w:sdtEndPr/>
              <w:sdtContent>
                <w:r w:rsidR="005773A1">
                  <w:rPr>
                    <w:sz w:val="18"/>
                    <w:szCs w:val="18"/>
                  </w:rPr>
                  <w:t>Renewable Energy Sector in Central America</w:t>
                </w:r>
              </w:sdtContent>
            </w:sdt>
            <w:r w:rsidRPr="00FE7239">
              <w:rPr>
                <w:noProof/>
                <w:szCs w:val="20"/>
              </w:rPr>
              <mc:AlternateContent>
                <mc:Choice Requires="wps">
                  <w:drawing>
                    <wp:anchor distT="0" distB="0" distL="114300" distR="114300" simplePos="0" relativeHeight="251664401" behindDoc="0" locked="0" layoutInCell="1" allowOverlap="1" wp14:anchorId="32D4C580" wp14:editId="27A99897">
                      <wp:simplePos x="0" y="0"/>
                      <wp:positionH relativeFrom="column">
                        <wp:posOffset>-1098550</wp:posOffset>
                      </wp:positionH>
                      <wp:positionV relativeFrom="paragraph">
                        <wp:posOffset>-393700</wp:posOffset>
                      </wp:positionV>
                      <wp:extent cx="7632246" cy="0"/>
                      <wp:effectExtent l="0" t="0" r="0" b="0"/>
                      <wp:wrapNone/>
                      <wp:docPr id="20" name="Conector recto 130"/>
                      <wp:cNvGraphicFramePr/>
                      <a:graphic xmlns:a="http://schemas.openxmlformats.org/drawingml/2006/main">
                        <a:graphicData uri="http://schemas.microsoft.com/office/word/2010/wordprocessingShape">
                          <wps:wsp>
                            <wps:cNvCnPr/>
                            <wps:spPr>
                              <a:xfrm>
                                <a:off x="0" y="0"/>
                                <a:ext cx="7632246" cy="0"/>
                              </a:xfrm>
                              <a:prstGeom prst="line">
                                <a:avLst/>
                              </a:prstGeom>
                              <a:ln>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2F98B89" id="Conector recto 130" o:spid="_x0000_s1026" style="position:absolute;z-index:25166440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6.5pt,-31pt" to="514.4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" strokecolor="#2f5496 [2404]" strokeweight=".5pt">
                      <v:stroke joinstyle="miter"/>
                    </v:line>
                  </w:pict>
                </mc:Fallback>
              </mc:AlternateContent>
            </w:r>
            <w:r>
              <w:tab/>
            </w:r>
            <w:r>
              <w:tab/>
            </w:r>
            <w:r w:rsidRPr="00FE7239">
              <w:rPr>
                <w:szCs w:val="20"/>
              </w:rPr>
              <w:fldChar w:fldCharType="begin"/>
            </w:r>
            <w:r w:rsidRPr="00FE7239">
              <w:rPr>
                <w:szCs w:val="20"/>
              </w:rPr>
              <w:instrText>PAGE   \* MERGEFORMAT</w:instrText>
            </w:r>
            <w:r w:rsidRPr="00FE7239">
              <w:rPr>
                <w:szCs w:val="20"/>
              </w:rPr>
              <w:fldChar w:fldCharType="separate"/>
            </w:r>
            <w:r w:rsidR="00C25E2C">
              <w:rPr>
                <w:noProof/>
                <w:szCs w:val="20"/>
              </w:rPr>
              <w:t>2</w:t>
            </w:r>
            <w:r w:rsidRPr="00FE7239">
              <w:rPr>
                <w:szCs w:val="20"/>
              </w:rPr>
              <w:fldChar w:fldCharType="end"/>
            </w:r>
          </w:sdtContent>
        </w:sdt>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CB1501" w14:textId="77777777" w:rsidR="00A55DAA" w:rsidRDefault="00A55DAA" w:rsidP="004F002C">
      <w:pPr>
        <w:spacing w:after="0" w:line="240" w:lineRule="auto"/>
      </w:pPr>
      <w:r>
        <w:separator/>
      </w:r>
    </w:p>
  </w:footnote>
  <w:footnote w:type="continuationSeparator" w:id="0">
    <w:p w14:paraId="6BB9FC7A" w14:textId="77777777" w:rsidR="00A55DAA" w:rsidRDefault="00A55DAA" w:rsidP="004F002C">
      <w:pPr>
        <w:spacing w:after="0" w:line="240" w:lineRule="auto"/>
      </w:pPr>
      <w:r>
        <w:continuationSeparator/>
      </w:r>
    </w:p>
  </w:footnote>
  <w:footnote w:type="continuationNotice" w:id="1">
    <w:p w14:paraId="02356AF3" w14:textId="77777777" w:rsidR="00A55DAA" w:rsidRDefault="00A55DAA">
      <w:pPr>
        <w:spacing w:after="0" w:line="240" w:lineRule="auto"/>
      </w:pPr>
    </w:p>
  </w:footnote>
  <w:footnote w:id="2">
    <w:p w14:paraId="4EDD8491" w14:textId="10DABCBD" w:rsidR="005F703F" w:rsidRPr="009C0AC5" w:rsidRDefault="005F703F" w:rsidP="005F703F">
      <w:pPr>
        <w:pStyle w:val="Textonotapie"/>
        <w:contextualSpacing/>
        <w:rPr>
          <w:sz w:val="16"/>
          <w:szCs w:val="16"/>
        </w:rPr>
      </w:pPr>
      <w:r w:rsidRPr="009C0AC5">
        <w:rPr>
          <w:rStyle w:val="Refdenotaalpie"/>
          <w:sz w:val="16"/>
          <w:szCs w:val="16"/>
        </w:rPr>
        <w:footnoteRef/>
      </w:r>
      <w:r w:rsidRPr="009C0AC5">
        <w:rPr>
          <w:sz w:val="16"/>
          <w:szCs w:val="16"/>
          <w:lang w:val="es-CO"/>
        </w:rPr>
        <w:t xml:space="preserve"> </w:t>
      </w:r>
      <w:r w:rsidRPr="005B4FB4">
        <w:rPr>
          <w:sz w:val="16"/>
          <w:szCs w:val="16"/>
          <w:lang w:val="es-CR"/>
        </w:rPr>
        <w:t>World Bank Data: GDP (current US</w:t>
      </w:r>
      <w:r w:rsidR="00D34D52" w:rsidRPr="005B4FB4">
        <w:rPr>
          <w:sz w:val="16"/>
          <w:szCs w:val="16"/>
          <w:lang w:val="es-CR"/>
        </w:rPr>
        <w:t>D</w:t>
      </w:r>
      <w:r w:rsidRPr="005B4FB4">
        <w:rPr>
          <w:sz w:val="16"/>
          <w:szCs w:val="16"/>
          <w:lang w:val="es-CR"/>
        </w:rPr>
        <w:t>) - Panama, El Salvador, Costa Rica, Nicaragua, Honduras, Guatemala, Belize.</w:t>
      </w:r>
      <w:r w:rsidRPr="009C0AC5">
        <w:rPr>
          <w:sz w:val="16"/>
          <w:szCs w:val="16"/>
          <w:lang w:val="es-CO"/>
        </w:rPr>
        <w:t xml:space="preserve"> </w:t>
      </w:r>
      <w:r w:rsidR="005B4FB4" w:rsidRPr="009C0AC5">
        <w:rPr>
          <w:sz w:val="16"/>
          <w:szCs w:val="16"/>
        </w:rPr>
        <w:t>Available</w:t>
      </w:r>
      <w:r w:rsidRPr="009C0AC5">
        <w:rPr>
          <w:sz w:val="16"/>
          <w:szCs w:val="16"/>
        </w:rPr>
        <w:t xml:space="preserve"> at: </w:t>
      </w:r>
      <w:hyperlink r:id="rId1" w:history="1">
        <w:r w:rsidRPr="009C0AC5">
          <w:rPr>
            <w:rStyle w:val="Hipervnculo"/>
            <w:sz w:val="16"/>
            <w:szCs w:val="16"/>
          </w:rPr>
          <w:t>https://data.worldbank.org/indicator/NY.GDP.MKTP.CD?locations=PA-SV-CR-NI-HN-GT-BZ</w:t>
        </w:r>
      </w:hyperlink>
      <w:r w:rsidRPr="009C0AC5">
        <w:rPr>
          <w:sz w:val="16"/>
          <w:szCs w:val="16"/>
        </w:rPr>
        <w:t xml:space="preserve"> </w:t>
      </w:r>
    </w:p>
  </w:footnote>
  <w:footnote w:id="3">
    <w:p w14:paraId="233383B9" w14:textId="77777777" w:rsidR="005F703F" w:rsidRPr="009C0AC5" w:rsidRDefault="005F703F" w:rsidP="00F73500">
      <w:pPr>
        <w:spacing w:after="0" w:line="240" w:lineRule="auto"/>
        <w:contextualSpacing/>
        <w:jc w:val="left"/>
        <w:rPr>
          <w:rFonts w:ascii="Times New Roman" w:eastAsia="Times New Roman" w:hAnsi="Times New Roman" w:cs="Times New Roman"/>
          <w:sz w:val="16"/>
          <w:szCs w:val="16"/>
          <w:lang w:eastAsia="es-MX"/>
        </w:rPr>
      </w:pPr>
      <w:r w:rsidRPr="009C0AC5">
        <w:rPr>
          <w:rStyle w:val="Refdenotaalpie"/>
          <w:sz w:val="16"/>
          <w:szCs w:val="16"/>
        </w:rPr>
        <w:footnoteRef/>
      </w:r>
      <w:r w:rsidRPr="009C0AC5">
        <w:rPr>
          <w:sz w:val="16"/>
          <w:szCs w:val="16"/>
        </w:rPr>
        <w:t xml:space="preserve"> United Nations, Department of Economic and Social Affairs, Population Division (2019). World Population Prospects 2019, Online Edition. Rev. 1</w:t>
      </w:r>
    </w:p>
  </w:footnote>
  <w:footnote w:id="4">
    <w:p w14:paraId="0EFF30B2" w14:textId="3AF69319" w:rsidR="00F73500" w:rsidRPr="004507A2" w:rsidRDefault="00F73500" w:rsidP="00F73500">
      <w:pPr>
        <w:pStyle w:val="Textonotapie"/>
      </w:pPr>
      <w:r>
        <w:rPr>
          <w:rStyle w:val="Refdenotaalpie"/>
        </w:rPr>
        <w:footnoteRef/>
      </w:r>
      <w:r>
        <w:t xml:space="preserve"> </w:t>
      </w:r>
      <w:r w:rsidRPr="009C0AC5">
        <w:rPr>
          <w:sz w:val="16"/>
          <w:szCs w:val="16"/>
        </w:rPr>
        <w:t xml:space="preserve">World Bank County Overview. Guatemala overview: </w:t>
      </w:r>
      <w:hyperlink r:id="rId2" w:history="1">
        <w:r w:rsidRPr="009C0AC5">
          <w:rPr>
            <w:rStyle w:val="Hipervnculo"/>
            <w:sz w:val="16"/>
            <w:szCs w:val="16"/>
          </w:rPr>
          <w:t>https://www.worldbank.org/en/country/guatemala/overview</w:t>
        </w:r>
      </w:hyperlink>
      <w:r w:rsidRPr="009C0AC5">
        <w:rPr>
          <w:sz w:val="16"/>
          <w:szCs w:val="16"/>
        </w:rPr>
        <w:t>. Last Updated: May 31, 2021</w:t>
      </w:r>
    </w:p>
  </w:footnote>
  <w:footnote w:id="5">
    <w:p w14:paraId="0533EACB" w14:textId="1D1A6EF7" w:rsidR="00F73500" w:rsidRPr="004507A2" w:rsidRDefault="00F73500">
      <w:pPr>
        <w:pStyle w:val="Textonotapie"/>
      </w:pPr>
      <w:r>
        <w:rPr>
          <w:rStyle w:val="Refdenotaalpie"/>
        </w:rPr>
        <w:footnoteRef/>
      </w:r>
      <w:r>
        <w:t xml:space="preserve"> </w:t>
      </w:r>
      <w:r w:rsidRPr="009C0AC5">
        <w:rPr>
          <w:sz w:val="16"/>
          <w:szCs w:val="16"/>
        </w:rPr>
        <w:t xml:space="preserve">World Bank County Overview. Honduras overview: </w:t>
      </w:r>
      <w:hyperlink r:id="rId3" w:history="1">
        <w:r w:rsidRPr="009C0AC5">
          <w:rPr>
            <w:rStyle w:val="Hipervnculo"/>
            <w:sz w:val="16"/>
            <w:szCs w:val="16"/>
          </w:rPr>
          <w:t>https://www.worldbank.org/en/country/honduras/overview</w:t>
        </w:r>
      </w:hyperlink>
      <w:r w:rsidRPr="009C0AC5">
        <w:rPr>
          <w:sz w:val="16"/>
          <w:szCs w:val="16"/>
        </w:rPr>
        <w:t>. Last Updated: May 28, 2021</w:t>
      </w:r>
    </w:p>
  </w:footnote>
  <w:footnote w:id="6">
    <w:p w14:paraId="6D8BC5BA" w14:textId="708B2E53" w:rsidR="00F73500" w:rsidRPr="004507A2" w:rsidRDefault="00F73500">
      <w:pPr>
        <w:pStyle w:val="Textonotapie"/>
      </w:pPr>
      <w:r>
        <w:rPr>
          <w:rStyle w:val="Refdenotaalpie"/>
        </w:rPr>
        <w:footnoteRef/>
      </w:r>
      <w:r>
        <w:t xml:space="preserve"> </w:t>
      </w:r>
      <w:r w:rsidRPr="009C0AC5">
        <w:rPr>
          <w:sz w:val="16"/>
          <w:szCs w:val="16"/>
        </w:rPr>
        <w:t>World Bank County Overview. El Salvador overview:</w:t>
      </w:r>
      <w:hyperlink r:id="rId4" w:history="1">
        <w:r w:rsidRPr="009C0AC5">
          <w:rPr>
            <w:rStyle w:val="Hipervnculo"/>
            <w:sz w:val="16"/>
            <w:szCs w:val="16"/>
          </w:rPr>
          <w:t>https://www.worldbank.org/en/country/elsalvador/overview</w:t>
        </w:r>
      </w:hyperlink>
      <w:r w:rsidRPr="009C0AC5">
        <w:rPr>
          <w:sz w:val="16"/>
          <w:szCs w:val="16"/>
        </w:rPr>
        <w:t>. Last Updated: Oct 09, 2020.</w:t>
      </w:r>
    </w:p>
  </w:footnote>
  <w:footnote w:id="7">
    <w:p w14:paraId="22CF5C28" w14:textId="77777777" w:rsidR="00F73500" w:rsidRPr="00D7320C" w:rsidRDefault="00F73500" w:rsidP="00F73500">
      <w:pPr>
        <w:pStyle w:val="Textonotapie"/>
      </w:pPr>
      <w:r>
        <w:rPr>
          <w:rStyle w:val="Refdenotaalpie"/>
        </w:rPr>
        <w:footnoteRef/>
      </w:r>
      <w:r>
        <w:t xml:space="preserve"> </w:t>
      </w:r>
      <w:r w:rsidRPr="00D7320C">
        <w:rPr>
          <w:sz w:val="15"/>
          <w:szCs w:val="18"/>
        </w:rPr>
        <w:t xml:space="preserve">World Bank County Overview. </w:t>
      </w:r>
      <w:r w:rsidRPr="00CF2276">
        <w:rPr>
          <w:sz w:val="15"/>
          <w:szCs w:val="18"/>
        </w:rPr>
        <w:t>Nicaragua overview:</w:t>
      </w:r>
      <w:hyperlink r:id="rId5" w:history="1">
        <w:r w:rsidRPr="00CF2276">
          <w:rPr>
            <w:rStyle w:val="Hipervnculo"/>
            <w:sz w:val="15"/>
            <w:szCs w:val="18"/>
          </w:rPr>
          <w:t>https://www.worldbank.org/en/nicaragua/elsalvador/overview</w:t>
        </w:r>
      </w:hyperlink>
      <w:r w:rsidRPr="00CF2276">
        <w:rPr>
          <w:sz w:val="15"/>
          <w:szCs w:val="18"/>
        </w:rPr>
        <w:t xml:space="preserve">. </w:t>
      </w:r>
      <w:r w:rsidRPr="004B37A5">
        <w:rPr>
          <w:sz w:val="15"/>
          <w:szCs w:val="18"/>
        </w:rPr>
        <w:t>Last Updated: Apr 06, 2021</w:t>
      </w:r>
    </w:p>
  </w:footnote>
  <w:footnote w:id="8">
    <w:p w14:paraId="005C5361" w14:textId="77777777" w:rsidR="00F73500" w:rsidRPr="004D7A15" w:rsidRDefault="00F73500" w:rsidP="00F73500">
      <w:pPr>
        <w:jc w:val="left"/>
        <w:rPr>
          <w:rFonts w:ascii="Times New Roman" w:eastAsia="Times New Roman" w:hAnsi="Times New Roman" w:cs="Times New Roman"/>
          <w:sz w:val="24"/>
          <w:szCs w:val="24"/>
          <w:lang w:eastAsia="es-MX"/>
        </w:rPr>
      </w:pPr>
      <w:r>
        <w:rPr>
          <w:rStyle w:val="Refdenotaalpie"/>
        </w:rPr>
        <w:footnoteRef/>
      </w:r>
      <w:r w:rsidRPr="004B37A5">
        <w:t xml:space="preserve"> </w:t>
      </w:r>
      <w:r w:rsidRPr="00D7320C">
        <w:rPr>
          <w:sz w:val="15"/>
          <w:szCs w:val="18"/>
        </w:rPr>
        <w:t xml:space="preserve">World Bank County Overview. </w:t>
      </w:r>
      <w:r w:rsidRPr="004B37A5">
        <w:rPr>
          <w:sz w:val="15"/>
          <w:szCs w:val="18"/>
        </w:rPr>
        <w:t xml:space="preserve">Costa Rica overview: </w:t>
      </w:r>
      <w:hyperlink r:id="rId6" w:history="1">
        <w:r w:rsidRPr="004B37A5">
          <w:rPr>
            <w:sz w:val="15"/>
            <w:szCs w:val="18"/>
          </w:rPr>
          <w:t>https://www.worldbank.org/en/country/costarica/overview</w:t>
        </w:r>
      </w:hyperlink>
      <w:r w:rsidRPr="004B37A5">
        <w:rPr>
          <w:sz w:val="15"/>
          <w:szCs w:val="18"/>
        </w:rPr>
        <w:t xml:space="preserve">. </w:t>
      </w:r>
      <w:r w:rsidRPr="004D7A15">
        <w:rPr>
          <w:sz w:val="15"/>
          <w:szCs w:val="18"/>
        </w:rPr>
        <w:t>Last Updated: Apr 06, 2021</w:t>
      </w:r>
    </w:p>
    <w:p w14:paraId="70F76A01" w14:textId="77777777" w:rsidR="00F73500" w:rsidRPr="004D7A15" w:rsidRDefault="00F73500" w:rsidP="00F73500">
      <w:pPr>
        <w:pStyle w:val="Textonotapie"/>
        <w:contextualSpacing/>
      </w:pPr>
    </w:p>
  </w:footnote>
  <w:footnote w:id="9">
    <w:p w14:paraId="71A2BBC9" w14:textId="0231EC75" w:rsidR="00A47B64" w:rsidRPr="00A553D7" w:rsidRDefault="00A47B64" w:rsidP="00A47B64">
      <w:pPr>
        <w:pStyle w:val="Textonotapie"/>
        <w:rPr>
          <w:sz w:val="16"/>
          <w:szCs w:val="16"/>
        </w:rPr>
      </w:pPr>
      <w:r w:rsidRPr="00AA13B9">
        <w:rPr>
          <w:rStyle w:val="Refdenotaalpie"/>
          <w:sz w:val="16"/>
          <w:szCs w:val="16"/>
        </w:rPr>
        <w:footnoteRef/>
      </w:r>
      <w:r w:rsidRPr="00AA13B9">
        <w:rPr>
          <w:sz w:val="16"/>
          <w:szCs w:val="16"/>
        </w:rPr>
        <w:t xml:space="preserve"> </w:t>
      </w:r>
      <w:r w:rsidR="002658F3">
        <w:rPr>
          <w:sz w:val="16"/>
          <w:szCs w:val="16"/>
        </w:rPr>
        <w:t>O</w:t>
      </w:r>
      <w:r w:rsidR="00A553D7" w:rsidRPr="00AA13B9">
        <w:rPr>
          <w:sz w:val="16"/>
          <w:szCs w:val="16"/>
        </w:rPr>
        <w:t>fficial statistic</w:t>
      </w:r>
      <w:r w:rsidR="002658F3">
        <w:rPr>
          <w:sz w:val="16"/>
          <w:szCs w:val="16"/>
        </w:rPr>
        <w:t>s</w:t>
      </w:r>
      <w:r w:rsidR="00A553D7" w:rsidRPr="00AA13B9">
        <w:rPr>
          <w:sz w:val="16"/>
          <w:szCs w:val="16"/>
        </w:rPr>
        <w:t xml:space="preserve"> from the Economic Commission for Latin America and the Caribbean (CEPAL) (2020) Sustainable </w:t>
      </w:r>
      <w:r w:rsidR="002658F3">
        <w:rPr>
          <w:sz w:val="16"/>
          <w:szCs w:val="16"/>
        </w:rPr>
        <w:t>E</w:t>
      </w:r>
      <w:r w:rsidR="00A553D7" w:rsidRPr="00AA13B9">
        <w:rPr>
          <w:sz w:val="16"/>
          <w:szCs w:val="16"/>
        </w:rPr>
        <w:t xml:space="preserve">nergy </w:t>
      </w:r>
      <w:r w:rsidR="002658F3">
        <w:rPr>
          <w:sz w:val="16"/>
          <w:szCs w:val="16"/>
        </w:rPr>
        <w:t>S</w:t>
      </w:r>
      <w:r w:rsidR="00A553D7" w:rsidRPr="00AA13B9">
        <w:rPr>
          <w:sz w:val="16"/>
          <w:szCs w:val="16"/>
        </w:rPr>
        <w:t xml:space="preserve">trategy 2030 of SICA </w:t>
      </w:r>
      <w:r w:rsidR="002658F3">
        <w:rPr>
          <w:sz w:val="16"/>
          <w:szCs w:val="16"/>
        </w:rPr>
        <w:t>N</w:t>
      </w:r>
      <w:r w:rsidR="00A553D7" w:rsidRPr="00AA13B9">
        <w:rPr>
          <w:sz w:val="16"/>
          <w:szCs w:val="16"/>
        </w:rPr>
        <w:t>ations</w:t>
      </w:r>
      <w:r w:rsidR="002658F3">
        <w:rPr>
          <w:sz w:val="16"/>
          <w:szCs w:val="16"/>
        </w:rPr>
        <w:t>.</w:t>
      </w:r>
    </w:p>
  </w:footnote>
  <w:footnote w:id="10">
    <w:p w14:paraId="4492DF10" w14:textId="1DA0EA53" w:rsidR="00F6010A" w:rsidRPr="00F6010A" w:rsidRDefault="00F6010A">
      <w:pPr>
        <w:pStyle w:val="Textonotapie"/>
      </w:pPr>
      <w:r>
        <w:rPr>
          <w:rStyle w:val="Refdenotaalpie"/>
        </w:rPr>
        <w:footnoteRef/>
      </w:r>
      <w:r>
        <w:t xml:space="preserve"> </w:t>
      </w:r>
      <w:r w:rsidRPr="00F6010A">
        <w:rPr>
          <w:sz w:val="16"/>
          <w:szCs w:val="16"/>
        </w:rPr>
        <w:t>Regulation of the Regional Electricity Market (in Spanish: RMER)</w:t>
      </w:r>
      <w:r>
        <w:rPr>
          <w:sz w:val="16"/>
          <w:szCs w:val="16"/>
        </w:rPr>
        <w:t>, v</w:t>
      </w:r>
      <w:r w:rsidRPr="00F6010A">
        <w:rPr>
          <w:sz w:val="16"/>
          <w:szCs w:val="16"/>
        </w:rPr>
        <w:t>ersion Updated to January 26, 2021</w:t>
      </w:r>
    </w:p>
  </w:footnote>
  <w:footnote w:id="11">
    <w:p w14:paraId="10C5ABE3" w14:textId="71350EEA" w:rsidR="00A43A35" w:rsidRPr="00A43A35" w:rsidRDefault="00A43A35">
      <w:pPr>
        <w:pStyle w:val="Textonotapie"/>
      </w:pPr>
      <w:r>
        <w:rPr>
          <w:rStyle w:val="Refdenotaalpie"/>
        </w:rPr>
        <w:footnoteRef/>
      </w:r>
      <w:r>
        <w:t xml:space="preserve"> </w:t>
      </w:r>
      <w:r w:rsidRPr="006658F5">
        <w:rPr>
          <w:sz w:val="16"/>
          <w:szCs w:val="16"/>
        </w:rPr>
        <w:t>Detailed info on</w:t>
      </w:r>
      <w:r w:rsidR="00155A55">
        <w:rPr>
          <w:sz w:val="16"/>
          <w:szCs w:val="16"/>
        </w:rPr>
        <w:t xml:space="preserve"> the Guatemala´s Government</w:t>
      </w:r>
      <w:r w:rsidRPr="006658F5">
        <w:rPr>
          <w:sz w:val="16"/>
          <w:szCs w:val="16"/>
        </w:rPr>
        <w:t xml:space="preserve"> </w:t>
      </w:r>
      <w:r w:rsidR="00842623" w:rsidRPr="00842623">
        <w:rPr>
          <w:sz w:val="16"/>
          <w:szCs w:val="16"/>
        </w:rPr>
        <w:t>https://mem.gob.gt/blog/guatemala-denuncia-el-tratado-marco-del-mer-y-sus-dos-protocolos/</w:t>
      </w:r>
      <w:r w:rsidRPr="006658F5">
        <w:rPr>
          <w:sz w:val="16"/>
          <w:szCs w:val="16"/>
        </w:rPr>
        <w:t xml:space="preserve"> and </w:t>
      </w:r>
      <w:r w:rsidR="00155A55">
        <w:rPr>
          <w:sz w:val="16"/>
          <w:szCs w:val="16"/>
        </w:rPr>
        <w:t xml:space="preserve">CRIE’s Press Release </w:t>
      </w:r>
      <w:r w:rsidRPr="006658F5">
        <w:rPr>
          <w:sz w:val="16"/>
          <w:szCs w:val="16"/>
        </w:rPr>
        <w:t>https://crie.org.gt/wp-content/uploads/2021/07/Comunicado-de-Prensa-CRIE-22-de-julio-2021.pdf</w:t>
      </w:r>
    </w:p>
  </w:footnote>
  <w:footnote w:id="12">
    <w:p w14:paraId="6D7C5430" w14:textId="69FA5C99" w:rsidR="004A449E" w:rsidRPr="006658F5" w:rsidRDefault="004A449E">
      <w:pPr>
        <w:pStyle w:val="Textonotapie"/>
        <w:rPr>
          <w:sz w:val="16"/>
          <w:szCs w:val="16"/>
          <w:lang w:val="es-CR"/>
        </w:rPr>
      </w:pPr>
      <w:r w:rsidRPr="007B0FAD">
        <w:rPr>
          <w:rStyle w:val="Refdenotaalpie"/>
          <w:sz w:val="16"/>
          <w:szCs w:val="16"/>
        </w:rPr>
        <w:footnoteRef/>
      </w:r>
      <w:r w:rsidRPr="006658F5">
        <w:rPr>
          <w:sz w:val="16"/>
          <w:szCs w:val="16"/>
          <w:lang w:val="es-CR"/>
        </w:rPr>
        <w:t xml:space="preserve"> Energy, Procurement and Commissioning.</w:t>
      </w:r>
    </w:p>
  </w:footnote>
  <w:footnote w:id="13">
    <w:p w14:paraId="738B1108" w14:textId="77777777" w:rsidR="00576C86" w:rsidRPr="004D7ED5" w:rsidRDefault="00576C86" w:rsidP="00576C86">
      <w:pPr>
        <w:pStyle w:val="Textonotapie"/>
      </w:pPr>
      <w:r w:rsidRPr="007B0FAD">
        <w:rPr>
          <w:rStyle w:val="Refdenotaalpie"/>
          <w:sz w:val="16"/>
          <w:szCs w:val="16"/>
        </w:rPr>
        <w:footnoteRef/>
      </w:r>
      <w:r w:rsidRPr="007B0FAD">
        <w:rPr>
          <w:sz w:val="16"/>
          <w:szCs w:val="16"/>
          <w:lang w:val="es-CR"/>
        </w:rPr>
        <w:t xml:space="preserve"> GUATEMALA: Derechos humanos e hidroeléctricas. Compendio de información que presentan organizaciones y comunidades a la Comisión Interamericana de Derechos Humanos. </w:t>
      </w:r>
      <w:r w:rsidRPr="007B0FAD">
        <w:rPr>
          <w:sz w:val="16"/>
          <w:szCs w:val="16"/>
        </w:rPr>
        <w:t>CIEDH-DESC. March 2017.</w:t>
      </w:r>
    </w:p>
  </w:footnote>
  <w:footnote w:id="14">
    <w:p w14:paraId="5360C852" w14:textId="77777777" w:rsidR="006F1BC3" w:rsidRPr="007B0FAD" w:rsidRDefault="006F1BC3" w:rsidP="006F1BC3">
      <w:pPr>
        <w:pStyle w:val="Textonotapie"/>
        <w:rPr>
          <w:sz w:val="16"/>
          <w:szCs w:val="16"/>
        </w:rPr>
      </w:pPr>
      <w:r w:rsidRPr="007B0FAD">
        <w:rPr>
          <w:rStyle w:val="Refdenotaalpie"/>
          <w:sz w:val="16"/>
          <w:szCs w:val="16"/>
        </w:rPr>
        <w:footnoteRef/>
      </w:r>
      <w:r w:rsidRPr="007B0FAD">
        <w:rPr>
          <w:sz w:val="16"/>
          <w:szCs w:val="16"/>
        </w:rPr>
        <w:t xml:space="preserve"> https://www.avesargentinas.org.ar/noticia/la-energ%C3%ADa-e%C3%B3lica-las-aves-y-el-ambiente.</w:t>
      </w:r>
    </w:p>
  </w:footnote>
  <w:footnote w:id="15">
    <w:p w14:paraId="3973D336" w14:textId="61215737" w:rsidR="00C73C98" w:rsidRPr="00C73C98" w:rsidRDefault="00C73C98">
      <w:pPr>
        <w:pStyle w:val="Textonotapie"/>
      </w:pPr>
      <w:r>
        <w:rPr>
          <w:rStyle w:val="Refdenotaalpie"/>
        </w:rPr>
        <w:footnoteRef/>
      </w:r>
      <w:r>
        <w:t xml:space="preserve"> L</w:t>
      </w:r>
      <w:r w:rsidRPr="00C73C98">
        <w:t>ow-cost natural gas plants (from 300 to 500 MW each)</w:t>
      </w:r>
      <w:r>
        <w:t xml:space="preserve"> can also help, but pros and cons must be considered</w:t>
      </w:r>
      <w:r w:rsidR="00FB3604">
        <w:t xml:space="preserve"> (including the results of COP26.</w:t>
      </w:r>
    </w:p>
  </w:footnote>
  <w:footnote w:id="16">
    <w:p w14:paraId="18FD7174" w14:textId="165A6322" w:rsidR="008D1FEA" w:rsidRPr="008D1FEA" w:rsidRDefault="008D1FEA">
      <w:pPr>
        <w:pStyle w:val="Textonotapie"/>
      </w:pPr>
      <w:r>
        <w:rPr>
          <w:rStyle w:val="Refdenotaalpie"/>
        </w:rPr>
        <w:footnoteRef/>
      </w:r>
      <w:r>
        <w:t xml:space="preserve"> The utilization of gas should be analyzed considering pros and cons, especially now that there is an international trend to </w:t>
      </w:r>
      <w:r w:rsidRPr="008D1FEA">
        <w:t>end overseas financing of oil and gas projects</w:t>
      </w:r>
      <w:r>
        <w:t xml:space="preserve"> (COP-26).</w:t>
      </w:r>
    </w:p>
  </w:footnote>
  <w:footnote w:id="17">
    <w:p w14:paraId="48AFAC32" w14:textId="77777777" w:rsidR="00A87AF1" w:rsidRPr="002977C2" w:rsidRDefault="00A87AF1" w:rsidP="00A87AF1">
      <w:pPr>
        <w:pStyle w:val="Textonotapie"/>
      </w:pPr>
      <w:r w:rsidRPr="00A87AF1">
        <w:rPr>
          <w:rStyle w:val="Refdenotaalpie"/>
          <w:sz w:val="16"/>
          <w:szCs w:val="16"/>
        </w:rPr>
        <w:footnoteRef/>
      </w:r>
      <w:r w:rsidRPr="00A87AF1">
        <w:rPr>
          <w:sz w:val="16"/>
          <w:szCs w:val="16"/>
        </w:rPr>
        <w:t xml:space="preserve"> IRENA (2021), Renewable Power Generation Costs in 2020, International Renewable Energy Agency, Abu Dhabi.</w:t>
      </w:r>
    </w:p>
  </w:footnote>
  <w:footnote w:id="18">
    <w:p w14:paraId="166DCAB7" w14:textId="77777777" w:rsidR="00A87AF1" w:rsidRPr="00A87AF1" w:rsidRDefault="00A87AF1" w:rsidP="00A87AF1">
      <w:pPr>
        <w:pStyle w:val="Textonotapie"/>
        <w:rPr>
          <w:sz w:val="16"/>
          <w:szCs w:val="16"/>
        </w:rPr>
      </w:pPr>
      <w:r w:rsidRPr="00A87AF1">
        <w:rPr>
          <w:rStyle w:val="Refdenotaalpie"/>
          <w:sz w:val="16"/>
          <w:szCs w:val="16"/>
        </w:rPr>
        <w:footnoteRef/>
      </w:r>
      <w:r w:rsidRPr="00CB4732">
        <w:rPr>
          <w:sz w:val="16"/>
          <w:szCs w:val="16"/>
          <w:lang w:val="es-CR"/>
        </w:rPr>
        <w:t xml:space="preserve"> Potencial de Expansión de Tecnologías Eficientes en Centroamérica (2019-2030). </w:t>
      </w:r>
      <w:r w:rsidRPr="00A87AF1">
        <w:rPr>
          <w:sz w:val="16"/>
          <w:szCs w:val="16"/>
        </w:rPr>
        <w:t>SICA, GiZ. 2019.</w:t>
      </w:r>
    </w:p>
  </w:footnote>
  <w:footnote w:id="19">
    <w:p w14:paraId="2D238D37" w14:textId="4A73C605" w:rsidR="004E0C5D" w:rsidRPr="006658F5" w:rsidRDefault="004E0C5D">
      <w:pPr>
        <w:pStyle w:val="Textonotapie"/>
        <w:rPr>
          <w:sz w:val="16"/>
          <w:szCs w:val="16"/>
        </w:rPr>
      </w:pPr>
      <w:r w:rsidRPr="006658F5">
        <w:rPr>
          <w:rStyle w:val="Refdenotaalpie"/>
          <w:sz w:val="16"/>
          <w:szCs w:val="16"/>
        </w:rPr>
        <w:footnoteRef/>
      </w:r>
      <w:r w:rsidRPr="006658F5">
        <w:rPr>
          <w:sz w:val="16"/>
          <w:szCs w:val="16"/>
        </w:rPr>
        <w:t xml:space="preserve"> Source: Ministry of Energy , https://www.energia.gob.pa/mdocs-posts/resolucion-n-mipre-2021-0036199-de-24-de-septiembre-de-2021-consulta-publica-enged-2/</w:t>
      </w:r>
    </w:p>
  </w:footnote>
  <w:footnote w:id="20">
    <w:p w14:paraId="0750B53A" w14:textId="21868139" w:rsidR="007901A4" w:rsidRPr="006658F5" w:rsidRDefault="007901A4">
      <w:pPr>
        <w:pStyle w:val="Textonotapie"/>
        <w:rPr>
          <w:sz w:val="16"/>
          <w:szCs w:val="16"/>
        </w:rPr>
      </w:pPr>
      <w:r w:rsidRPr="006658F5">
        <w:rPr>
          <w:rStyle w:val="Refdenotaalpie"/>
          <w:sz w:val="16"/>
          <w:szCs w:val="16"/>
        </w:rPr>
        <w:footnoteRef/>
      </w:r>
      <w:r w:rsidRPr="006658F5">
        <w:rPr>
          <w:sz w:val="16"/>
          <w:szCs w:val="16"/>
        </w:rPr>
        <w:t xml:space="preserve"> Sources: Government of El Salvador </w:t>
      </w:r>
      <w:hyperlink r:id="rId7" w:history="1">
        <w:r w:rsidRPr="006658F5">
          <w:rPr>
            <w:rStyle w:val="Hipervnculo"/>
            <w:sz w:val="16"/>
            <w:szCs w:val="16"/>
          </w:rPr>
          <w:t>https://www.presidencia.gob.sv/presidente-nayib-bukele-anuncia-construccion-de-bitcoin-city-en-el-cierre-de-bitcoin-week-feel-the-bit/</w:t>
        </w:r>
      </w:hyperlink>
      <w:r w:rsidRPr="006658F5">
        <w:rPr>
          <w:sz w:val="16"/>
          <w:szCs w:val="16"/>
        </w:rPr>
        <w:t xml:space="preserve"> and Criptonoticias https://www.criptonoticias.com/comunidad/asi-sera-bitcoin-city-metropoli-circular-salvador/</w:t>
      </w:r>
    </w:p>
  </w:footnote>
  <w:footnote w:id="21">
    <w:p w14:paraId="1558A446" w14:textId="77777777" w:rsidR="006658F5" w:rsidRPr="006658F5" w:rsidRDefault="006658F5" w:rsidP="006658F5">
      <w:pPr>
        <w:rPr>
          <w:sz w:val="16"/>
          <w:szCs w:val="16"/>
        </w:rPr>
      </w:pPr>
      <w:r w:rsidRPr="006658F5">
        <w:rPr>
          <w:rStyle w:val="Refdenotaalpie"/>
          <w:sz w:val="16"/>
          <w:szCs w:val="16"/>
        </w:rPr>
        <w:footnoteRef/>
      </w:r>
      <w:r w:rsidRPr="006658F5">
        <w:rPr>
          <w:sz w:val="16"/>
          <w:szCs w:val="16"/>
        </w:rPr>
        <w:t xml:space="preserve"> Sources: </w:t>
      </w:r>
      <w:hyperlink r:id="rId8" w:history="1">
        <w:r w:rsidRPr="006658F5">
          <w:rPr>
            <w:rStyle w:val="Hipervnculo"/>
            <w:sz w:val="16"/>
            <w:szCs w:val="16"/>
          </w:rPr>
          <w:t>http://www.asamblea.go.cr/glcp/Lista_Mociones/22009-I-001.pdf</w:t>
        </w:r>
      </w:hyperlink>
    </w:p>
    <w:p w14:paraId="04A2CC1A" w14:textId="77777777" w:rsidR="006658F5" w:rsidRPr="006658F5" w:rsidRDefault="00C25E2C" w:rsidP="006658F5">
      <w:pPr>
        <w:rPr>
          <w:sz w:val="16"/>
          <w:szCs w:val="16"/>
        </w:rPr>
      </w:pPr>
      <w:hyperlink r:id="rId9" w:history="1">
        <w:r w:rsidR="006658F5" w:rsidRPr="006658F5">
          <w:rPr>
            <w:rStyle w:val="Hipervnculo"/>
            <w:sz w:val="16"/>
            <w:szCs w:val="16"/>
          </w:rPr>
          <w:t>https://www.presidencia.go.cr/comunicados/2021/12/firmada-ley-que-regula-la-generacion-de-energia-distribuida-en-el-pais/</w:t>
        </w:r>
      </w:hyperlink>
    </w:p>
    <w:p w14:paraId="737387BC" w14:textId="747CBD89" w:rsidR="006658F5" w:rsidRPr="006658F5" w:rsidRDefault="006658F5">
      <w:pPr>
        <w:pStyle w:val="Textonotapie"/>
      </w:pPr>
    </w:p>
  </w:footnote>
  <w:footnote w:id="22">
    <w:p w14:paraId="185CA944" w14:textId="75D94752" w:rsidR="00D5241F" w:rsidRPr="00D5241F" w:rsidRDefault="00D5241F">
      <w:pPr>
        <w:pStyle w:val="Textonotapie"/>
      </w:pPr>
      <w:r w:rsidRPr="00D5241F">
        <w:rPr>
          <w:rStyle w:val="Refdenotaalpie"/>
          <w:sz w:val="16"/>
          <w:szCs w:val="16"/>
        </w:rPr>
        <w:footnoteRef/>
      </w:r>
      <w:r w:rsidRPr="00D5241F">
        <w:rPr>
          <w:sz w:val="16"/>
          <w:szCs w:val="16"/>
        </w:rPr>
        <w:t xml:space="preserve"> Source: </w:t>
      </w:r>
      <w:hyperlink r:id="rId10" w:history="1">
        <w:r w:rsidRPr="00D5241F">
          <w:rPr>
            <w:rStyle w:val="Hipervnculo"/>
            <w:sz w:val="16"/>
            <w:szCs w:val="16"/>
          </w:rPr>
          <w:t>https://ec.europa.eu/info/strategy/priorities-2019-2024/european-green-deal_en</w:t>
        </w:r>
      </w:hyperlink>
    </w:p>
  </w:footnote>
  <w:footnote w:id="23">
    <w:p w14:paraId="48E28D93" w14:textId="571622A6" w:rsidR="007A7A14" w:rsidRPr="007A7A14" w:rsidRDefault="007A7A14">
      <w:pPr>
        <w:pStyle w:val="Textonotapie"/>
        <w:rPr>
          <w:sz w:val="16"/>
          <w:szCs w:val="16"/>
        </w:rPr>
      </w:pPr>
      <w:r w:rsidRPr="007A7A14">
        <w:rPr>
          <w:rStyle w:val="Refdenotaalpie"/>
          <w:sz w:val="16"/>
          <w:szCs w:val="16"/>
        </w:rPr>
        <w:footnoteRef/>
      </w:r>
      <w:r w:rsidRPr="007A7A14">
        <w:rPr>
          <w:sz w:val="16"/>
          <w:szCs w:val="16"/>
        </w:rPr>
        <w:t xml:space="preserve"> Source: </w:t>
      </w:r>
      <w:hyperlink r:id="rId11" w:history="1">
        <w:r w:rsidRPr="007A7A14">
          <w:rPr>
            <w:rStyle w:val="Hipervnculo"/>
            <w:sz w:val="16"/>
            <w:szCs w:val="16"/>
          </w:rPr>
          <w:t>https://unfccc.int/sites/default/files/english_paris_agreement.pdf</w:t>
        </w:r>
      </w:hyperlink>
    </w:p>
  </w:footnote>
  <w:footnote w:id="24">
    <w:p w14:paraId="67106C56" w14:textId="5FED895F" w:rsidR="00323415" w:rsidRPr="00323415" w:rsidRDefault="00323415">
      <w:pPr>
        <w:pStyle w:val="Textonotapie"/>
      </w:pPr>
      <w:r>
        <w:rPr>
          <w:rStyle w:val="Refdenotaalpie"/>
        </w:rPr>
        <w:footnoteRef/>
      </w:r>
      <w:r>
        <w:t xml:space="preserve"> </w:t>
      </w:r>
      <w:r w:rsidRPr="005430E5">
        <w:rPr>
          <w:sz w:val="18"/>
          <w:szCs w:val="18"/>
        </w:rPr>
        <w:t>The Results of COP26. Ewelina Czapla. November 17, 2021</w:t>
      </w:r>
      <w:r w:rsidR="005430E5" w:rsidRPr="005430E5">
        <w:rPr>
          <w:sz w:val="18"/>
          <w:szCs w:val="18"/>
        </w:rPr>
        <w:t>. Downloaded from: https://www.americanactionforum.org/insight/the-results-of-cop26/</w:t>
      </w:r>
    </w:p>
  </w:footnote>
  <w:footnote w:id="25">
    <w:p w14:paraId="19D46619" w14:textId="77777777" w:rsidR="005664F0" w:rsidRPr="001845E3" w:rsidRDefault="005664F0" w:rsidP="005664F0">
      <w:pPr>
        <w:pStyle w:val="Textonotapie"/>
        <w:rPr>
          <w:sz w:val="16"/>
          <w:szCs w:val="16"/>
        </w:rPr>
      </w:pPr>
      <w:r w:rsidRPr="001845E3">
        <w:rPr>
          <w:rStyle w:val="Refdenotaalpie"/>
          <w:sz w:val="16"/>
          <w:szCs w:val="16"/>
        </w:rPr>
        <w:footnoteRef/>
      </w:r>
      <w:r w:rsidRPr="001845E3">
        <w:rPr>
          <w:sz w:val="16"/>
          <w:szCs w:val="16"/>
        </w:rPr>
        <w:t xml:space="preserve"> Engineering, Procurement and Construction. A form of building contract under which the builder (the EPC contractor) will deliver a completed project on a turnkey basis.</w:t>
      </w:r>
    </w:p>
  </w:footnote>
  <w:footnote w:id="26">
    <w:p w14:paraId="045D86C8" w14:textId="77777777" w:rsidR="005664F0" w:rsidRPr="00236DA0" w:rsidRDefault="005664F0" w:rsidP="005664F0">
      <w:pPr>
        <w:pStyle w:val="Textonotapie"/>
      </w:pPr>
      <w:r w:rsidRPr="001845E3">
        <w:rPr>
          <w:rStyle w:val="Refdenotaalpie"/>
          <w:sz w:val="16"/>
          <w:szCs w:val="16"/>
        </w:rPr>
        <w:footnoteRef/>
      </w:r>
      <w:r w:rsidRPr="001845E3">
        <w:rPr>
          <w:sz w:val="16"/>
          <w:szCs w:val="16"/>
        </w:rPr>
        <w:t xml:space="preserve"> Energy Service Company (or Energy Savings Company), is a company or an entity that delivers energy services or other energy efficiency improvements in an energy user's premises, and accepts some degree of financial risk in doing so.</w:t>
      </w:r>
    </w:p>
  </w:footnote>
  <w:footnote w:id="27">
    <w:p w14:paraId="4EC55357" w14:textId="77777777" w:rsidR="00B54936" w:rsidRPr="001845E3" w:rsidRDefault="00B54936" w:rsidP="00B54936">
      <w:pPr>
        <w:pStyle w:val="Textonotapie"/>
        <w:rPr>
          <w:sz w:val="16"/>
          <w:szCs w:val="16"/>
        </w:rPr>
      </w:pPr>
      <w:r w:rsidRPr="001845E3">
        <w:rPr>
          <w:rStyle w:val="Refdenotaalpie"/>
          <w:sz w:val="16"/>
          <w:szCs w:val="16"/>
        </w:rPr>
        <w:footnoteRef/>
      </w:r>
      <w:r w:rsidRPr="001845E3">
        <w:rPr>
          <w:sz w:val="16"/>
          <w:szCs w:val="16"/>
        </w:rPr>
        <w:t xml:space="preserve">  Green Building certifications like: Excellence in Design for Greater Efficiencies (EDGE), Leadership in Energy and Environmental Design (LEED), Building Research Establishment Environmental Assessment Method (BREEAM).</w:t>
      </w:r>
    </w:p>
  </w:footnote>
  <w:footnote w:id="28">
    <w:p w14:paraId="031B1563" w14:textId="77777777" w:rsidR="00B54936" w:rsidRPr="00B54936" w:rsidRDefault="00B54936" w:rsidP="00B54936">
      <w:pPr>
        <w:pStyle w:val="Textonotapie"/>
      </w:pPr>
      <w:r w:rsidRPr="001845E3">
        <w:rPr>
          <w:rStyle w:val="Refdenotaalpie"/>
          <w:sz w:val="16"/>
          <w:szCs w:val="16"/>
        </w:rPr>
        <w:footnoteRef/>
      </w:r>
      <w:r w:rsidRPr="001845E3">
        <w:rPr>
          <w:sz w:val="16"/>
          <w:szCs w:val="16"/>
        </w:rPr>
        <w:t xml:space="preserve">  Energy labels like Energy Star (USA), the EU Energy Label, FIDE in Mexico and PROCEL in Brazil.</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E7555" w14:textId="77777777" w:rsidR="00DB6C75" w:rsidRDefault="00C25E2C">
    <w:pPr>
      <w:pStyle w:val="Encabezado"/>
    </w:pPr>
    <w:r>
      <w:rPr>
        <w:noProof/>
      </w:rPr>
      <w:pict w14:anchorId="55B34B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133070" o:spid="_x0000_s1027" type="#_x0000_t75" alt="" style="position:absolute;left:0;text-align:left;margin-left:0;margin-top:0;width:450.3pt;height:636.7pt;z-index:-251658228;mso-wrap-edited:f;mso-width-percent:0;mso-height-percent:0;mso-position-horizontal:center;mso-position-horizontal-relative:margin;mso-position-vertical:center;mso-position-vertical-relative:margin;mso-width-percent:0;mso-height-percent:0" o:allowincell="f">
          <v:imagedata r:id="rId1" o:title="11-Informe-BG"/>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6FEBF3" w14:textId="12C58FD4" w:rsidR="00DB6C75" w:rsidRDefault="00C25E2C">
    <w:pPr>
      <w:pStyle w:val="Encabezado"/>
    </w:pPr>
    <w:r>
      <w:rPr>
        <w:noProof/>
      </w:rPr>
      <w:pict w14:anchorId="045EC7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133071" o:spid="_x0000_s1026" type="#_x0000_t75" alt="" style="position:absolute;left:0;text-align:left;margin-left:0;margin-top:0;width:595.2pt;height:841.85pt;z-index:-251658227;mso-wrap-edited:f;mso-width-percent:0;mso-height-percent:0;mso-position-horizontal:center;mso-position-horizontal-relative:margin;mso-position-vertical:center;mso-position-vertical-relative:margin;mso-width-percent:0;mso-height-percent:0" o:allowincell="f">
          <v:imagedata r:id="rId1" o:title="11-Informe-BG"/>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CE91D0" w14:textId="77777777" w:rsidR="00DB6C75" w:rsidRDefault="00C25E2C">
    <w:pPr>
      <w:pStyle w:val="Encabezado"/>
    </w:pPr>
    <w:r>
      <w:rPr>
        <w:noProof/>
      </w:rPr>
      <w:pict w14:anchorId="56B312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133069" o:spid="_x0000_s1025" type="#_x0000_t75" alt="" style="position:absolute;left:0;text-align:left;margin-left:0;margin-top:0;width:450.3pt;height:636.7pt;z-index:-251658229;mso-wrap-edited:f;mso-width-percent:0;mso-height-percent:0;mso-position-horizontal:center;mso-position-horizontal-relative:margin;mso-position-vertical:center;mso-position-vertical-relative:margin;mso-width-percent:0;mso-height-percent:0" o:allowincell="f">
          <v:imagedata r:id="rId1" o:title="11-Informe-BG"/>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8734"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34"/>
    </w:tblGrid>
    <w:tr w:rsidR="00653AB1" w:rsidRPr="003B2FA8" w14:paraId="10694115" w14:textId="77777777" w:rsidTr="003F37ED">
      <w:trPr>
        <w:trHeight w:val="348"/>
      </w:trPr>
      <w:tc>
        <w:tcPr>
          <w:tcW w:w="8734" w:type="dxa"/>
        </w:tcPr>
        <w:p w14:paraId="4F69D1C0" w14:textId="77777777" w:rsidR="00653AB1" w:rsidRPr="003B2FA8" w:rsidRDefault="00653AB1" w:rsidP="003B2FA8">
          <w:pPr>
            <w:pStyle w:val="Encabezado"/>
            <w:spacing w:before="240" w:after="240"/>
            <w:jc w:val="right"/>
            <w:rPr>
              <w:sz w:val="18"/>
              <w:szCs w:val="18"/>
            </w:rPr>
          </w:pPr>
          <w:r w:rsidRPr="003B2FA8">
            <w:rPr>
              <w:sz w:val="18"/>
              <w:szCs w:val="18"/>
            </w:rPr>
            <w:t>TA to Support the Implementation of the Trade Pillar of the EU-CA Association Agreement</w:t>
          </w:r>
        </w:p>
        <w:sdt>
          <w:sdtPr>
            <w:rPr>
              <w:color w:val="2F5496" w:themeColor="accent1" w:themeShade="BF"/>
            </w:rPr>
            <w:alias w:val="Título"/>
            <w:tag w:val=""/>
            <w:id w:val="-1627453716"/>
            <w:placeholder>
              <w:docPart w:val="8866D4CFFEF2468EB90DC1B97579A8AB"/>
            </w:placeholder>
            <w:dataBinding w:prefixMappings="xmlns:ns0='http://purl.org/dc/elements/1.1/' xmlns:ns1='http://schemas.openxmlformats.org/package/2006/metadata/core-properties' " w:xpath="/ns1:coreProperties[1]/ns0:title[1]" w:storeItemID="{6C3C8BC8-F283-45AE-878A-BAB7291924A1}"/>
            <w:text/>
          </w:sdtPr>
          <w:sdtEndPr/>
          <w:sdtContent>
            <w:p w14:paraId="29A09462" w14:textId="78A279E5" w:rsidR="00653AB1" w:rsidRPr="003B2FA8" w:rsidRDefault="005773A1" w:rsidP="003B2FA8">
              <w:pPr>
                <w:pStyle w:val="Encabezado"/>
                <w:spacing w:before="240" w:after="240"/>
                <w:jc w:val="right"/>
              </w:pPr>
              <w:r>
                <w:rPr>
                  <w:color w:val="2F5496" w:themeColor="accent1" w:themeShade="BF"/>
                </w:rPr>
                <w:t>Renewable Energy Sector in Central America</w:t>
              </w:r>
            </w:p>
          </w:sdtContent>
        </w:sdt>
      </w:tc>
    </w:tr>
  </w:tbl>
  <w:p w14:paraId="30F26F10" w14:textId="77777777" w:rsidR="00653AB1" w:rsidRDefault="00653AB1" w:rsidP="003B2FA8">
    <w:pPr>
      <w:pStyle w:val="Encabezado"/>
    </w:pPr>
    <w:r>
      <w:rPr>
        <w:noProof/>
      </w:rPr>
      <mc:AlternateContent>
        <mc:Choice Requires="wps">
          <w:drawing>
            <wp:anchor distT="0" distB="0" distL="114300" distR="114300" simplePos="0" relativeHeight="251658242" behindDoc="0" locked="0" layoutInCell="1" allowOverlap="1" wp14:anchorId="19F16399" wp14:editId="5C869A28">
              <wp:simplePos x="0" y="0"/>
              <wp:positionH relativeFrom="column">
                <wp:posOffset>-1098550</wp:posOffset>
              </wp:positionH>
              <wp:positionV relativeFrom="page">
                <wp:posOffset>784225</wp:posOffset>
              </wp:positionV>
              <wp:extent cx="7632065" cy="0"/>
              <wp:effectExtent l="0" t="0" r="0" b="0"/>
              <wp:wrapNone/>
              <wp:docPr id="6" name="Conector recto 129"/>
              <wp:cNvGraphicFramePr/>
              <a:graphic xmlns:a="http://schemas.openxmlformats.org/drawingml/2006/main">
                <a:graphicData uri="http://schemas.microsoft.com/office/word/2010/wordprocessingShape">
                  <wps:wsp>
                    <wps:cNvCnPr/>
                    <wps:spPr>
                      <a:xfrm>
                        <a:off x="0" y="0"/>
                        <a:ext cx="7632065" cy="0"/>
                      </a:xfrm>
                      <a:prstGeom prst="line">
                        <a:avLst/>
                      </a:prstGeom>
                      <a:ln>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3B51D06" id="Conector recto 129" o:spid="_x0000_s1026"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86.5pt,61.75pt" to="514.45pt,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" strokecolor="#2f5496 [2404]" strokeweight=".5pt">
              <v:stroke joinstyle="miter"/>
              <w10:wrap anchory="page"/>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8734"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34"/>
    </w:tblGrid>
    <w:tr w:rsidR="00544F81" w:rsidRPr="003B2FA8" w14:paraId="0A12294A" w14:textId="77777777" w:rsidTr="003F37ED">
      <w:trPr>
        <w:trHeight w:val="348"/>
      </w:trPr>
      <w:tc>
        <w:tcPr>
          <w:tcW w:w="8734" w:type="dxa"/>
        </w:tcPr>
        <w:p w14:paraId="3878BC6E" w14:textId="77777777" w:rsidR="00544F81" w:rsidRPr="003B2FA8" w:rsidRDefault="00544F81" w:rsidP="003B2FA8">
          <w:pPr>
            <w:pStyle w:val="Encabezado"/>
            <w:spacing w:before="240" w:after="240"/>
            <w:jc w:val="right"/>
            <w:rPr>
              <w:sz w:val="18"/>
              <w:szCs w:val="18"/>
            </w:rPr>
          </w:pPr>
          <w:r w:rsidRPr="003B2FA8">
            <w:rPr>
              <w:sz w:val="18"/>
              <w:szCs w:val="18"/>
            </w:rPr>
            <w:t>TA to Support the Implementation of the Trade Pillar of the EU-CA Association Agreement</w:t>
          </w:r>
        </w:p>
        <w:p w14:paraId="0AE18E06" w14:textId="77777777" w:rsidR="00544F81" w:rsidRPr="003B2FA8" w:rsidRDefault="00544F81" w:rsidP="003B2FA8">
          <w:pPr>
            <w:pStyle w:val="Encabezado"/>
            <w:spacing w:before="240" w:after="240"/>
            <w:jc w:val="right"/>
          </w:pPr>
          <w:r>
            <w:rPr>
              <w:color w:val="2F5496" w:themeColor="accent1" w:themeShade="BF"/>
            </w:rPr>
            <w:t>Analysis of prioritized sectors – Activity A</w:t>
          </w:r>
        </w:p>
      </w:tc>
    </w:tr>
  </w:tbl>
  <w:p w14:paraId="75C6BCB1" w14:textId="77777777" w:rsidR="00544F81" w:rsidRDefault="00544F81" w:rsidP="003B2FA8">
    <w:pPr>
      <w:pStyle w:val="Encabezado"/>
    </w:pPr>
    <w:r>
      <w:rPr>
        <w:noProof/>
      </w:rPr>
      <mc:AlternateContent>
        <mc:Choice Requires="wps">
          <w:drawing>
            <wp:anchor distT="0" distB="0" distL="114300" distR="114300" simplePos="0" relativeHeight="251658250" behindDoc="0" locked="0" layoutInCell="1" allowOverlap="1" wp14:anchorId="6A1A8CC9" wp14:editId="1797E50C">
              <wp:simplePos x="0" y="0"/>
              <wp:positionH relativeFrom="column">
                <wp:posOffset>-1098795</wp:posOffset>
              </wp:positionH>
              <wp:positionV relativeFrom="paragraph">
                <wp:posOffset>-60714</wp:posOffset>
              </wp:positionV>
              <wp:extent cx="7632246" cy="0"/>
              <wp:effectExtent l="0" t="0" r="0" b="0"/>
              <wp:wrapNone/>
              <wp:docPr id="22" name="Conector recto 129"/>
              <wp:cNvGraphicFramePr/>
              <a:graphic xmlns:a="http://schemas.openxmlformats.org/drawingml/2006/main">
                <a:graphicData uri="http://schemas.microsoft.com/office/word/2010/wordprocessingShape">
                  <wps:wsp>
                    <wps:cNvCnPr/>
                    <wps:spPr>
                      <a:xfrm>
                        <a:off x="0" y="0"/>
                        <a:ext cx="7632246" cy="0"/>
                      </a:xfrm>
                      <a:prstGeom prst="line">
                        <a:avLst/>
                      </a:prstGeom>
                      <a:ln>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32265BC" id="Conector recto 129" o:spid="_x0000_s1026" style="position:absolute;z-index:2516582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6.5pt,-4.8pt" to="514.4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" strokecolor="#2f5496 [2404]" strokeweight=".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073A4"/>
    <w:multiLevelType w:val="hybridMultilevel"/>
    <w:tmpl w:val="E0863008"/>
    <w:lvl w:ilvl="0" w:tplc="080A0001">
      <w:start w:val="1"/>
      <w:numFmt w:val="bullet"/>
      <w:lvlText w:val=""/>
      <w:lvlJc w:val="left"/>
      <w:pPr>
        <w:ind w:left="720" w:hanging="360"/>
      </w:pPr>
      <w:rPr>
        <w:rFonts w:ascii="Symbol" w:hAnsi="Symbol" w:hint="default"/>
      </w:rPr>
    </w:lvl>
    <w:lvl w:ilvl="1" w:tplc="0B1233E0">
      <w:start w:val="3"/>
      <w:numFmt w:val="bullet"/>
      <w:lvlText w:val="•"/>
      <w:lvlJc w:val="left"/>
      <w:pPr>
        <w:ind w:left="1440" w:hanging="360"/>
      </w:pPr>
      <w:rPr>
        <w:rFonts w:ascii="Avenir Next LT Pro" w:eastAsiaTheme="minorHAnsi" w:hAnsi="Avenir Next LT Pro" w:cstheme="minorBidi"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8C0309"/>
    <w:multiLevelType w:val="hybridMultilevel"/>
    <w:tmpl w:val="BF4680BC"/>
    <w:lvl w:ilvl="0" w:tplc="080A0001">
      <w:start w:val="1"/>
      <w:numFmt w:val="bullet"/>
      <w:lvlText w:val=""/>
      <w:lvlJc w:val="left"/>
      <w:pPr>
        <w:ind w:left="720" w:hanging="360"/>
      </w:pPr>
      <w:rPr>
        <w:rFonts w:ascii="Symbol" w:hAnsi="Symbol" w:hint="default"/>
      </w:rPr>
    </w:lvl>
    <w:lvl w:ilvl="1" w:tplc="3266D01C">
      <w:start w:val="3"/>
      <w:numFmt w:val="bullet"/>
      <w:lvlText w:val="•"/>
      <w:lvlJc w:val="left"/>
      <w:pPr>
        <w:ind w:left="1440" w:hanging="360"/>
      </w:pPr>
      <w:rPr>
        <w:rFonts w:ascii="Avenir Next LT Pro" w:eastAsiaTheme="minorHAnsi" w:hAnsi="Avenir Next LT Pro" w:cstheme="minorBidi"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2B7376"/>
    <w:multiLevelType w:val="hybridMultilevel"/>
    <w:tmpl w:val="A3C68926"/>
    <w:lvl w:ilvl="0" w:tplc="0A968A34">
      <w:start w:val="1"/>
      <w:numFmt w:val="lowerRoman"/>
      <w:lvlText w:val="(%1)"/>
      <w:lvlJc w:val="left"/>
      <w:pPr>
        <w:ind w:left="720" w:hanging="360"/>
      </w:pPr>
      <w:rPr>
        <w:rFonts w:hint="default"/>
      </w:rPr>
    </w:lvl>
    <w:lvl w:ilvl="1" w:tplc="134837E4">
      <w:start w:val="1"/>
      <w:numFmt w:val="lowerLetter"/>
      <w:lvlText w:val="(%2)"/>
      <w:lvlJc w:val="left"/>
      <w:pPr>
        <w:ind w:left="1800" w:hanging="360"/>
      </w:pPr>
      <w:rPr>
        <w:rFonts w:hint="default"/>
      </w:r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0DD43241"/>
    <w:multiLevelType w:val="hybridMultilevel"/>
    <w:tmpl w:val="68B67066"/>
    <w:lvl w:ilvl="0" w:tplc="0A968A34">
      <w:start w:val="1"/>
      <w:numFmt w:val="lowerRoman"/>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12493B67"/>
    <w:multiLevelType w:val="hybridMultilevel"/>
    <w:tmpl w:val="3EAA67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30B3456"/>
    <w:multiLevelType w:val="hybridMultilevel"/>
    <w:tmpl w:val="2E443050"/>
    <w:lvl w:ilvl="0" w:tplc="14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4C62F52"/>
    <w:multiLevelType w:val="hybridMultilevel"/>
    <w:tmpl w:val="4D2E2CC0"/>
    <w:lvl w:ilvl="0" w:tplc="5B649406">
      <w:start w:val="1"/>
      <w:numFmt w:val="bullet"/>
      <w:lvlText w:val=""/>
      <w:lvlJc w:val="left"/>
      <w:pPr>
        <w:ind w:left="360" w:hanging="360"/>
      </w:pPr>
      <w:rPr>
        <w:rFonts w:ascii="Symbol" w:hAnsi="Symbol" w:hint="default"/>
        <w:sz w:val="18"/>
      </w:rPr>
    </w:lvl>
    <w:lvl w:ilvl="1" w:tplc="140A0003">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7" w15:restartNumberingAfterBreak="0">
    <w:nsid w:val="1933707D"/>
    <w:multiLevelType w:val="hybridMultilevel"/>
    <w:tmpl w:val="8A58B2A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1A902ED5"/>
    <w:multiLevelType w:val="hybridMultilevel"/>
    <w:tmpl w:val="E09E93CE"/>
    <w:lvl w:ilvl="0" w:tplc="080A0001">
      <w:start w:val="1"/>
      <w:numFmt w:val="bullet"/>
      <w:lvlText w:val=""/>
      <w:lvlJc w:val="left"/>
      <w:pPr>
        <w:ind w:left="360" w:hanging="360"/>
      </w:pPr>
      <w:rPr>
        <w:rFonts w:ascii="Symbol" w:hAnsi="Symbol" w:hint="default"/>
      </w:rPr>
    </w:lvl>
    <w:lvl w:ilvl="1" w:tplc="140A0003">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9" w15:restartNumberingAfterBreak="0">
    <w:nsid w:val="1DAD34F4"/>
    <w:multiLevelType w:val="hybridMultilevel"/>
    <w:tmpl w:val="475C0FB4"/>
    <w:lvl w:ilvl="0" w:tplc="080A001B">
      <w:start w:val="1"/>
      <w:numFmt w:val="lowerRoman"/>
      <w:lvlText w:val="%1."/>
      <w:lvlJc w:val="right"/>
      <w:pPr>
        <w:ind w:left="720" w:hanging="360"/>
      </w:pPr>
    </w:lvl>
    <w:lvl w:ilvl="1" w:tplc="0A968A34">
      <w:start w:val="1"/>
      <w:numFmt w:val="lowerRoman"/>
      <w:lvlText w:val="(%2)"/>
      <w:lvlJc w:val="left"/>
      <w:pPr>
        <w:ind w:left="72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1BE1DD3"/>
    <w:multiLevelType w:val="hybridMultilevel"/>
    <w:tmpl w:val="CCE64E7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 w15:restartNumberingAfterBreak="0">
    <w:nsid w:val="26AD6635"/>
    <w:multiLevelType w:val="hybridMultilevel"/>
    <w:tmpl w:val="B98CE014"/>
    <w:lvl w:ilvl="0" w:tplc="72128838">
      <w:numFmt w:val="bullet"/>
      <w:lvlText w:val="-"/>
      <w:lvlJc w:val="left"/>
      <w:pPr>
        <w:ind w:left="360" w:hanging="360"/>
      </w:pPr>
      <w:rPr>
        <w:rFonts w:ascii="Avenir Next LT Pro" w:eastAsiaTheme="minorHAnsi" w:hAnsi="Avenir Next LT Pro" w:cstheme="minorBidi"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2" w15:restartNumberingAfterBreak="0">
    <w:nsid w:val="26B40815"/>
    <w:multiLevelType w:val="hybridMultilevel"/>
    <w:tmpl w:val="7B6EABE6"/>
    <w:lvl w:ilvl="0" w:tplc="0A968A34">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7FC3383"/>
    <w:multiLevelType w:val="hybridMultilevel"/>
    <w:tmpl w:val="503C6646"/>
    <w:lvl w:ilvl="0" w:tplc="0A968A34">
      <w:start w:val="1"/>
      <w:numFmt w:val="lowerRoman"/>
      <w:lvlText w:val="(%1)"/>
      <w:lvlJc w:val="left"/>
      <w:pPr>
        <w:ind w:left="1080" w:hanging="720"/>
      </w:pPr>
      <w:rPr>
        <w:rFonts w:hint="default"/>
      </w:rPr>
    </w:lvl>
    <w:lvl w:ilvl="1" w:tplc="EC5E999A">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8546707"/>
    <w:multiLevelType w:val="hybridMultilevel"/>
    <w:tmpl w:val="8892CB5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2A5C3788"/>
    <w:multiLevelType w:val="hybridMultilevel"/>
    <w:tmpl w:val="3DC05D38"/>
    <w:lvl w:ilvl="0" w:tplc="19205256">
      <w:start w:val="1"/>
      <w:numFmt w:val="bullet"/>
      <w:lvlText w:val="•"/>
      <w:lvlJc w:val="left"/>
      <w:pPr>
        <w:ind w:left="720" w:hanging="360"/>
      </w:pPr>
      <w:rPr>
        <w:rFonts w:ascii="Avenir Next LT Pro" w:eastAsiaTheme="minorHAnsi" w:hAnsi="Avenir Next LT Pro" w:cstheme="minorBidi"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2D234CCD"/>
    <w:multiLevelType w:val="hybridMultilevel"/>
    <w:tmpl w:val="78C2400E"/>
    <w:lvl w:ilvl="0" w:tplc="19205256">
      <w:start w:val="1"/>
      <w:numFmt w:val="bullet"/>
      <w:lvlText w:val="•"/>
      <w:lvlJc w:val="left"/>
      <w:pPr>
        <w:ind w:left="720" w:hanging="360"/>
      </w:pPr>
      <w:rPr>
        <w:rFonts w:ascii="Avenir Next LT Pro" w:eastAsiaTheme="minorHAnsi" w:hAnsi="Avenir Next LT Pro" w:cstheme="minorBidi"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2DE03882"/>
    <w:multiLevelType w:val="hybridMultilevel"/>
    <w:tmpl w:val="BDFAD95A"/>
    <w:lvl w:ilvl="0" w:tplc="04090017">
      <w:start w:val="1"/>
      <w:numFmt w:val="lowerLetter"/>
      <w:lvlText w:val="%1)"/>
      <w:lvlJc w:val="left"/>
      <w:pPr>
        <w:ind w:left="1080" w:hanging="360"/>
      </w:pPr>
    </w:lvl>
    <w:lvl w:ilvl="1" w:tplc="04090003">
      <w:start w:val="1"/>
      <w:numFmt w:val="bullet"/>
      <w:lvlText w:val="o"/>
      <w:lvlJc w:val="left"/>
      <w:pPr>
        <w:ind w:left="0" w:hanging="360"/>
      </w:pPr>
      <w:rPr>
        <w:rFonts w:ascii="Courier New" w:hAnsi="Courier New" w:cs="Courier New" w:hint="default"/>
      </w:rPr>
    </w:lvl>
    <w:lvl w:ilvl="2" w:tplc="04090005">
      <w:start w:val="1"/>
      <w:numFmt w:val="bullet"/>
      <w:lvlText w:val=""/>
      <w:lvlJc w:val="left"/>
      <w:pPr>
        <w:ind w:left="720" w:hanging="360"/>
      </w:pPr>
      <w:rPr>
        <w:rFonts w:ascii="Wingdings" w:hAnsi="Wingdings" w:hint="default"/>
      </w:rPr>
    </w:lvl>
    <w:lvl w:ilvl="3" w:tplc="04090001">
      <w:start w:val="1"/>
      <w:numFmt w:val="bullet"/>
      <w:lvlText w:val=""/>
      <w:lvlJc w:val="left"/>
      <w:pPr>
        <w:ind w:left="1440" w:hanging="360"/>
      </w:pPr>
      <w:rPr>
        <w:rFonts w:ascii="Symbol" w:hAnsi="Symbol" w:hint="default"/>
      </w:rPr>
    </w:lvl>
    <w:lvl w:ilvl="4" w:tplc="04090003">
      <w:start w:val="1"/>
      <w:numFmt w:val="bullet"/>
      <w:lvlText w:val="o"/>
      <w:lvlJc w:val="left"/>
      <w:pPr>
        <w:ind w:left="2160" w:hanging="360"/>
      </w:pPr>
      <w:rPr>
        <w:rFonts w:ascii="Courier New" w:hAnsi="Courier New" w:cs="Courier New" w:hint="default"/>
      </w:rPr>
    </w:lvl>
    <w:lvl w:ilvl="5" w:tplc="04090005">
      <w:start w:val="1"/>
      <w:numFmt w:val="bullet"/>
      <w:lvlText w:val=""/>
      <w:lvlJc w:val="left"/>
      <w:pPr>
        <w:ind w:left="2880" w:hanging="360"/>
      </w:pPr>
      <w:rPr>
        <w:rFonts w:ascii="Wingdings" w:hAnsi="Wingdings" w:hint="default"/>
      </w:rPr>
    </w:lvl>
    <w:lvl w:ilvl="6" w:tplc="04090001">
      <w:start w:val="1"/>
      <w:numFmt w:val="bullet"/>
      <w:lvlText w:val=""/>
      <w:lvlJc w:val="left"/>
      <w:pPr>
        <w:ind w:left="3600" w:hanging="360"/>
      </w:pPr>
      <w:rPr>
        <w:rFonts w:ascii="Symbol" w:hAnsi="Symbol" w:hint="default"/>
      </w:rPr>
    </w:lvl>
    <w:lvl w:ilvl="7" w:tplc="04090003">
      <w:start w:val="1"/>
      <w:numFmt w:val="bullet"/>
      <w:lvlText w:val="o"/>
      <w:lvlJc w:val="left"/>
      <w:pPr>
        <w:ind w:left="4320" w:hanging="360"/>
      </w:pPr>
      <w:rPr>
        <w:rFonts w:ascii="Courier New" w:hAnsi="Courier New" w:cs="Courier New" w:hint="default"/>
      </w:rPr>
    </w:lvl>
    <w:lvl w:ilvl="8" w:tplc="04090005">
      <w:start w:val="1"/>
      <w:numFmt w:val="bullet"/>
      <w:lvlText w:val=""/>
      <w:lvlJc w:val="left"/>
      <w:pPr>
        <w:ind w:left="5040" w:hanging="360"/>
      </w:pPr>
      <w:rPr>
        <w:rFonts w:ascii="Wingdings" w:hAnsi="Wingdings" w:hint="default"/>
      </w:rPr>
    </w:lvl>
  </w:abstractNum>
  <w:abstractNum w:abstractNumId="18" w15:restartNumberingAfterBreak="0">
    <w:nsid w:val="33741C60"/>
    <w:multiLevelType w:val="hybridMultilevel"/>
    <w:tmpl w:val="886AC710"/>
    <w:lvl w:ilvl="0" w:tplc="140A0001">
      <w:start w:val="1"/>
      <w:numFmt w:val="bullet"/>
      <w:lvlText w:val=""/>
      <w:lvlJc w:val="left"/>
      <w:pPr>
        <w:ind w:left="770" w:hanging="360"/>
      </w:pPr>
      <w:rPr>
        <w:rFonts w:ascii="Symbol" w:hAnsi="Symbol" w:hint="default"/>
      </w:rPr>
    </w:lvl>
    <w:lvl w:ilvl="1" w:tplc="140A0003" w:tentative="1">
      <w:start w:val="1"/>
      <w:numFmt w:val="bullet"/>
      <w:lvlText w:val="o"/>
      <w:lvlJc w:val="left"/>
      <w:pPr>
        <w:ind w:left="1490" w:hanging="360"/>
      </w:pPr>
      <w:rPr>
        <w:rFonts w:ascii="Courier New" w:hAnsi="Courier New" w:cs="Courier New" w:hint="default"/>
      </w:rPr>
    </w:lvl>
    <w:lvl w:ilvl="2" w:tplc="140A0005" w:tentative="1">
      <w:start w:val="1"/>
      <w:numFmt w:val="bullet"/>
      <w:lvlText w:val=""/>
      <w:lvlJc w:val="left"/>
      <w:pPr>
        <w:ind w:left="2210" w:hanging="360"/>
      </w:pPr>
      <w:rPr>
        <w:rFonts w:ascii="Wingdings" w:hAnsi="Wingdings" w:hint="default"/>
      </w:rPr>
    </w:lvl>
    <w:lvl w:ilvl="3" w:tplc="140A0001" w:tentative="1">
      <w:start w:val="1"/>
      <w:numFmt w:val="bullet"/>
      <w:lvlText w:val=""/>
      <w:lvlJc w:val="left"/>
      <w:pPr>
        <w:ind w:left="2930" w:hanging="360"/>
      </w:pPr>
      <w:rPr>
        <w:rFonts w:ascii="Symbol" w:hAnsi="Symbol" w:hint="default"/>
      </w:rPr>
    </w:lvl>
    <w:lvl w:ilvl="4" w:tplc="140A0003" w:tentative="1">
      <w:start w:val="1"/>
      <w:numFmt w:val="bullet"/>
      <w:lvlText w:val="o"/>
      <w:lvlJc w:val="left"/>
      <w:pPr>
        <w:ind w:left="3650" w:hanging="360"/>
      </w:pPr>
      <w:rPr>
        <w:rFonts w:ascii="Courier New" w:hAnsi="Courier New" w:cs="Courier New" w:hint="default"/>
      </w:rPr>
    </w:lvl>
    <w:lvl w:ilvl="5" w:tplc="140A0005" w:tentative="1">
      <w:start w:val="1"/>
      <w:numFmt w:val="bullet"/>
      <w:lvlText w:val=""/>
      <w:lvlJc w:val="left"/>
      <w:pPr>
        <w:ind w:left="4370" w:hanging="360"/>
      </w:pPr>
      <w:rPr>
        <w:rFonts w:ascii="Wingdings" w:hAnsi="Wingdings" w:hint="default"/>
      </w:rPr>
    </w:lvl>
    <w:lvl w:ilvl="6" w:tplc="140A0001" w:tentative="1">
      <w:start w:val="1"/>
      <w:numFmt w:val="bullet"/>
      <w:lvlText w:val=""/>
      <w:lvlJc w:val="left"/>
      <w:pPr>
        <w:ind w:left="5090" w:hanging="360"/>
      </w:pPr>
      <w:rPr>
        <w:rFonts w:ascii="Symbol" w:hAnsi="Symbol" w:hint="default"/>
      </w:rPr>
    </w:lvl>
    <w:lvl w:ilvl="7" w:tplc="140A0003" w:tentative="1">
      <w:start w:val="1"/>
      <w:numFmt w:val="bullet"/>
      <w:lvlText w:val="o"/>
      <w:lvlJc w:val="left"/>
      <w:pPr>
        <w:ind w:left="5810" w:hanging="360"/>
      </w:pPr>
      <w:rPr>
        <w:rFonts w:ascii="Courier New" w:hAnsi="Courier New" w:cs="Courier New" w:hint="default"/>
      </w:rPr>
    </w:lvl>
    <w:lvl w:ilvl="8" w:tplc="140A0005" w:tentative="1">
      <w:start w:val="1"/>
      <w:numFmt w:val="bullet"/>
      <w:lvlText w:val=""/>
      <w:lvlJc w:val="left"/>
      <w:pPr>
        <w:ind w:left="6530" w:hanging="360"/>
      </w:pPr>
      <w:rPr>
        <w:rFonts w:ascii="Wingdings" w:hAnsi="Wingdings" w:hint="default"/>
      </w:rPr>
    </w:lvl>
  </w:abstractNum>
  <w:abstractNum w:abstractNumId="19" w15:restartNumberingAfterBreak="0">
    <w:nsid w:val="33D24646"/>
    <w:multiLevelType w:val="hybridMultilevel"/>
    <w:tmpl w:val="469E71D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358D15AC"/>
    <w:multiLevelType w:val="multilevel"/>
    <w:tmpl w:val="3956FA20"/>
    <w:lvl w:ilvl="0">
      <w:start w:val="1"/>
      <w:numFmt w:val="decimal"/>
      <w:pStyle w:val="Ttulo1"/>
      <w:lvlText w:val="%1."/>
      <w:lvlJc w:val="left"/>
      <w:pPr>
        <w:ind w:left="720" w:hanging="360"/>
      </w:pPr>
      <w:rPr>
        <w:rFonts w:hint="default"/>
      </w:rPr>
    </w:lvl>
    <w:lvl w:ilvl="1">
      <w:start w:val="1"/>
      <w:numFmt w:val="decimal"/>
      <w:pStyle w:val="Ttulo2"/>
      <w:isLgl/>
      <w:lvlText w:val="%1.%2."/>
      <w:lvlJc w:val="left"/>
      <w:pPr>
        <w:ind w:left="1080" w:hanging="720"/>
      </w:pPr>
      <w:rPr>
        <w:rFonts w:hint="default"/>
      </w:rPr>
    </w:lvl>
    <w:lvl w:ilvl="2">
      <w:start w:val="1"/>
      <w:numFmt w:val="decimal"/>
      <w:pStyle w:val="Ttulo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37E74912"/>
    <w:multiLevelType w:val="hybridMultilevel"/>
    <w:tmpl w:val="EDE6287C"/>
    <w:lvl w:ilvl="0" w:tplc="0A968A34">
      <w:start w:val="1"/>
      <w:numFmt w:val="lowerRoman"/>
      <w:lvlText w:val="(%1)"/>
      <w:lvlJc w:val="left"/>
      <w:pPr>
        <w:ind w:left="1080" w:hanging="720"/>
      </w:pPr>
      <w:rPr>
        <w:rFonts w:hint="default"/>
      </w:rPr>
    </w:lvl>
    <w:lvl w:ilvl="1" w:tplc="0A968A34">
      <w:start w:val="1"/>
      <w:numFmt w:val="lowerRoman"/>
      <w:lvlText w:val="(%2)"/>
      <w:lvlJc w:val="left"/>
      <w:pPr>
        <w:ind w:left="72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8222F48"/>
    <w:multiLevelType w:val="hybridMultilevel"/>
    <w:tmpl w:val="2B42E120"/>
    <w:lvl w:ilvl="0" w:tplc="140A0001">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23" w15:restartNumberingAfterBreak="0">
    <w:nsid w:val="3B7947E2"/>
    <w:multiLevelType w:val="hybridMultilevel"/>
    <w:tmpl w:val="F9609396"/>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24" w15:restartNumberingAfterBreak="0">
    <w:nsid w:val="3C391B04"/>
    <w:multiLevelType w:val="hybridMultilevel"/>
    <w:tmpl w:val="5770CC82"/>
    <w:lvl w:ilvl="0" w:tplc="04090017">
      <w:start w:val="1"/>
      <w:numFmt w:val="lowerLetter"/>
      <w:lvlText w:val="%1)"/>
      <w:lvlJc w:val="left"/>
      <w:pPr>
        <w:ind w:left="1080" w:hanging="360"/>
      </w:p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5" w15:restartNumberingAfterBreak="0">
    <w:nsid w:val="3D8C660E"/>
    <w:multiLevelType w:val="hybridMultilevel"/>
    <w:tmpl w:val="082CE1F0"/>
    <w:lvl w:ilvl="0" w:tplc="140A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F3A583E"/>
    <w:multiLevelType w:val="hybridMultilevel"/>
    <w:tmpl w:val="3840383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7" w15:restartNumberingAfterBreak="0">
    <w:nsid w:val="43222891"/>
    <w:multiLevelType w:val="hybridMultilevel"/>
    <w:tmpl w:val="E01C33DA"/>
    <w:lvl w:ilvl="0" w:tplc="080A0001">
      <w:start w:val="1"/>
      <w:numFmt w:val="bullet"/>
      <w:lvlText w:val=""/>
      <w:lvlJc w:val="left"/>
      <w:pPr>
        <w:ind w:left="360" w:hanging="360"/>
      </w:pPr>
      <w:rPr>
        <w:rFonts w:ascii="Symbol" w:hAnsi="Symbol" w:hint="default"/>
      </w:rPr>
    </w:lvl>
    <w:lvl w:ilvl="1" w:tplc="140A0003">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28" w15:restartNumberingAfterBreak="0">
    <w:nsid w:val="43D2157F"/>
    <w:multiLevelType w:val="hybridMultilevel"/>
    <w:tmpl w:val="9C7239E0"/>
    <w:lvl w:ilvl="0" w:tplc="08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9" w15:restartNumberingAfterBreak="0">
    <w:nsid w:val="476372B1"/>
    <w:multiLevelType w:val="hybridMultilevel"/>
    <w:tmpl w:val="9B28F6D6"/>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0" w15:restartNumberingAfterBreak="0">
    <w:nsid w:val="4837351E"/>
    <w:multiLevelType w:val="hybridMultilevel"/>
    <w:tmpl w:val="E85CCD9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1" w15:restartNumberingAfterBreak="0">
    <w:nsid w:val="48594E14"/>
    <w:multiLevelType w:val="hybridMultilevel"/>
    <w:tmpl w:val="0AD4BBD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2" w15:restartNumberingAfterBreak="0">
    <w:nsid w:val="488F4F75"/>
    <w:multiLevelType w:val="hybridMultilevel"/>
    <w:tmpl w:val="2106397C"/>
    <w:lvl w:ilvl="0" w:tplc="0A968A34">
      <w:start w:val="1"/>
      <w:numFmt w:val="lowerRoman"/>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3" w15:restartNumberingAfterBreak="0">
    <w:nsid w:val="4BF70427"/>
    <w:multiLevelType w:val="hybridMultilevel"/>
    <w:tmpl w:val="B2109658"/>
    <w:lvl w:ilvl="0" w:tplc="387C46FC">
      <w:start w:val="1"/>
      <w:numFmt w:val="bullet"/>
      <w:pStyle w:val="-Guintraslistaa-EUCATrad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CA23425"/>
    <w:multiLevelType w:val="hybridMultilevel"/>
    <w:tmpl w:val="69600E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0FB6469"/>
    <w:multiLevelType w:val="hybridMultilevel"/>
    <w:tmpl w:val="BBA65A3C"/>
    <w:lvl w:ilvl="0" w:tplc="0A968A34">
      <w:start w:val="1"/>
      <w:numFmt w:val="low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5BE1AEC"/>
    <w:multiLevelType w:val="hybridMultilevel"/>
    <w:tmpl w:val="F7FC1800"/>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7" w15:restartNumberingAfterBreak="0">
    <w:nsid w:val="57E523BB"/>
    <w:multiLevelType w:val="hybridMultilevel"/>
    <w:tmpl w:val="DF92A8AE"/>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38" w15:restartNumberingAfterBreak="0">
    <w:nsid w:val="590435E2"/>
    <w:multiLevelType w:val="hybridMultilevel"/>
    <w:tmpl w:val="09EE41C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9" w15:restartNumberingAfterBreak="0">
    <w:nsid w:val="5E215121"/>
    <w:multiLevelType w:val="hybridMultilevel"/>
    <w:tmpl w:val="57ACDD0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0" w15:restartNumberingAfterBreak="0">
    <w:nsid w:val="5FB20980"/>
    <w:multiLevelType w:val="hybridMultilevel"/>
    <w:tmpl w:val="54E8C616"/>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1" w15:restartNumberingAfterBreak="0">
    <w:nsid w:val="60DC2FA3"/>
    <w:multiLevelType w:val="hybridMultilevel"/>
    <w:tmpl w:val="5A9EE968"/>
    <w:lvl w:ilvl="0" w:tplc="0A968A34">
      <w:start w:val="1"/>
      <w:numFmt w:val="low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79A516F"/>
    <w:multiLevelType w:val="hybridMultilevel"/>
    <w:tmpl w:val="72B05176"/>
    <w:lvl w:ilvl="0" w:tplc="9B64D8BA">
      <w:start w:val="1"/>
      <w:numFmt w:val="lowerLetter"/>
      <w:pStyle w:val="Prrafodelista"/>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15D485A"/>
    <w:multiLevelType w:val="hybridMultilevel"/>
    <w:tmpl w:val="6F1635C2"/>
    <w:lvl w:ilvl="0" w:tplc="140A0001">
      <w:start w:val="1"/>
      <w:numFmt w:val="bullet"/>
      <w:lvlText w:val=""/>
      <w:lvlJc w:val="left"/>
      <w:pPr>
        <w:ind w:left="360" w:hanging="360"/>
      </w:pPr>
      <w:rPr>
        <w:rFonts w:ascii="Symbol" w:hAnsi="Symbol" w:hint="default"/>
      </w:rPr>
    </w:lvl>
    <w:lvl w:ilvl="1" w:tplc="140A0003">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44" w15:restartNumberingAfterBreak="0">
    <w:nsid w:val="7A124F6E"/>
    <w:multiLevelType w:val="hybridMultilevel"/>
    <w:tmpl w:val="D3AA9D30"/>
    <w:lvl w:ilvl="0" w:tplc="0A968A34">
      <w:start w:val="1"/>
      <w:numFmt w:val="low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C7F7AC2"/>
    <w:multiLevelType w:val="hybridMultilevel"/>
    <w:tmpl w:val="71ECF14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42"/>
  </w:num>
  <w:num w:numId="2">
    <w:abstractNumId w:val="33"/>
  </w:num>
  <w:num w:numId="3">
    <w:abstractNumId w:val="20"/>
  </w:num>
  <w:num w:numId="4">
    <w:abstractNumId w:val="0"/>
  </w:num>
  <w:num w:numId="5">
    <w:abstractNumId w:val="4"/>
  </w:num>
  <w:num w:numId="6">
    <w:abstractNumId w:val="34"/>
  </w:num>
  <w:num w:numId="7">
    <w:abstractNumId w:val="1"/>
  </w:num>
  <w:num w:numId="8">
    <w:abstractNumId w:val="41"/>
  </w:num>
  <w:num w:numId="9">
    <w:abstractNumId w:val="13"/>
  </w:num>
  <w:num w:numId="10">
    <w:abstractNumId w:val="21"/>
  </w:num>
  <w:num w:numId="11">
    <w:abstractNumId w:val="35"/>
  </w:num>
  <w:num w:numId="12">
    <w:abstractNumId w:val="2"/>
  </w:num>
  <w:num w:numId="13">
    <w:abstractNumId w:val="44"/>
  </w:num>
  <w:num w:numId="14">
    <w:abstractNumId w:val="11"/>
  </w:num>
  <w:num w:numId="15">
    <w:abstractNumId w:val="3"/>
  </w:num>
  <w:num w:numId="16">
    <w:abstractNumId w:val="32"/>
  </w:num>
  <w:num w:numId="17">
    <w:abstractNumId w:val="9"/>
  </w:num>
  <w:num w:numId="18">
    <w:abstractNumId w:val="12"/>
  </w:num>
  <w:num w:numId="19">
    <w:abstractNumId w:val="6"/>
  </w:num>
  <w:num w:numId="20">
    <w:abstractNumId w:val="8"/>
  </w:num>
  <w:num w:numId="21">
    <w:abstractNumId w:val="27"/>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lvlOverride w:ilvl="0">
      <w:startOverride w:val="1"/>
    </w:lvlOverride>
    <w:lvlOverride w:ilvl="1"/>
    <w:lvlOverride w:ilvl="2"/>
    <w:lvlOverride w:ilvl="3"/>
    <w:lvlOverride w:ilvl="4"/>
    <w:lvlOverride w:ilvl="5"/>
    <w:lvlOverride w:ilvl="6"/>
    <w:lvlOverride w:ilvl="7"/>
    <w:lvlOverride w:ilvl="8"/>
  </w:num>
  <w:num w:numId="2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30"/>
  </w:num>
  <w:num w:numId="29">
    <w:abstractNumId w:val="14"/>
  </w:num>
  <w:num w:numId="30">
    <w:abstractNumId w:val="37"/>
  </w:num>
  <w:num w:numId="31">
    <w:abstractNumId w:val="23"/>
  </w:num>
  <w:num w:numId="32">
    <w:abstractNumId w:val="15"/>
  </w:num>
  <w:num w:numId="33">
    <w:abstractNumId w:val="16"/>
  </w:num>
  <w:num w:numId="3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1"/>
  </w:num>
  <w:num w:numId="36">
    <w:abstractNumId w:val="7"/>
  </w:num>
  <w:num w:numId="37">
    <w:abstractNumId w:val="18"/>
  </w:num>
  <w:num w:numId="38">
    <w:abstractNumId w:val="19"/>
  </w:num>
  <w:num w:numId="39">
    <w:abstractNumId w:val="43"/>
  </w:num>
  <w:num w:numId="40">
    <w:abstractNumId w:val="39"/>
  </w:num>
  <w:num w:numId="41">
    <w:abstractNumId w:val="45"/>
  </w:num>
  <w:num w:numId="42">
    <w:abstractNumId w:val="22"/>
  </w:num>
  <w:num w:numId="43">
    <w:abstractNumId w:val="42"/>
  </w:num>
  <w:num w:numId="44">
    <w:abstractNumId w:val="26"/>
  </w:num>
  <w:num w:numId="45">
    <w:abstractNumId w:val="42"/>
  </w:num>
  <w:num w:numId="46">
    <w:abstractNumId w:val="25"/>
  </w:num>
  <w:num w:numId="47">
    <w:abstractNumId w:val="5"/>
  </w:num>
  <w:num w:numId="48">
    <w:abstractNumId w:val="38"/>
  </w:num>
  <w:num w:numId="49">
    <w:abstractNumId w:val="2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E3NjSyNLM0NLMwNDRS0lEKTi0uzszPAykwrgUAjvoKmSwAAAA="/>
    <w:docVar w:name="LW_DocType" w:val="NORMAL"/>
  </w:docVars>
  <w:rsids>
    <w:rsidRoot w:val="00DB315F"/>
    <w:rsid w:val="00000F92"/>
    <w:rsid w:val="00001D6F"/>
    <w:rsid w:val="00002440"/>
    <w:rsid w:val="00002544"/>
    <w:rsid w:val="0001080C"/>
    <w:rsid w:val="00021D95"/>
    <w:rsid w:val="00024F9D"/>
    <w:rsid w:val="00032872"/>
    <w:rsid w:val="00032A8D"/>
    <w:rsid w:val="00054CA8"/>
    <w:rsid w:val="000550A0"/>
    <w:rsid w:val="00067372"/>
    <w:rsid w:val="00070C1B"/>
    <w:rsid w:val="00070F75"/>
    <w:rsid w:val="00072DDA"/>
    <w:rsid w:val="00074B0C"/>
    <w:rsid w:val="000758F4"/>
    <w:rsid w:val="0007626F"/>
    <w:rsid w:val="00076765"/>
    <w:rsid w:val="00076ACE"/>
    <w:rsid w:val="00077C7B"/>
    <w:rsid w:val="00082A02"/>
    <w:rsid w:val="000833D4"/>
    <w:rsid w:val="00084C4C"/>
    <w:rsid w:val="000856BC"/>
    <w:rsid w:val="000862B5"/>
    <w:rsid w:val="0008761B"/>
    <w:rsid w:val="0009325B"/>
    <w:rsid w:val="00094F86"/>
    <w:rsid w:val="000967B2"/>
    <w:rsid w:val="000A42CB"/>
    <w:rsid w:val="000B1B82"/>
    <w:rsid w:val="000B3491"/>
    <w:rsid w:val="000B3EC6"/>
    <w:rsid w:val="000B5328"/>
    <w:rsid w:val="000B70B8"/>
    <w:rsid w:val="000C1C2B"/>
    <w:rsid w:val="000C2B64"/>
    <w:rsid w:val="000C60E9"/>
    <w:rsid w:val="000C61F6"/>
    <w:rsid w:val="000D0E69"/>
    <w:rsid w:val="000D2321"/>
    <w:rsid w:val="000D2E4D"/>
    <w:rsid w:val="000D3015"/>
    <w:rsid w:val="000D40A1"/>
    <w:rsid w:val="000D44A4"/>
    <w:rsid w:val="000D7E59"/>
    <w:rsid w:val="000E1CA1"/>
    <w:rsid w:val="000E3549"/>
    <w:rsid w:val="000E5222"/>
    <w:rsid w:val="000E61F5"/>
    <w:rsid w:val="000E69D7"/>
    <w:rsid w:val="000E6E93"/>
    <w:rsid w:val="000F227C"/>
    <w:rsid w:val="000F522B"/>
    <w:rsid w:val="000F5452"/>
    <w:rsid w:val="000F6085"/>
    <w:rsid w:val="000F67EF"/>
    <w:rsid w:val="00101FBA"/>
    <w:rsid w:val="00104CEE"/>
    <w:rsid w:val="00105332"/>
    <w:rsid w:val="00105D5A"/>
    <w:rsid w:val="001060AF"/>
    <w:rsid w:val="00106681"/>
    <w:rsid w:val="0010696A"/>
    <w:rsid w:val="00110387"/>
    <w:rsid w:val="001130E5"/>
    <w:rsid w:val="001138BF"/>
    <w:rsid w:val="00114608"/>
    <w:rsid w:val="00114674"/>
    <w:rsid w:val="00115212"/>
    <w:rsid w:val="00115E62"/>
    <w:rsid w:val="00117FDF"/>
    <w:rsid w:val="00117FE9"/>
    <w:rsid w:val="001238C5"/>
    <w:rsid w:val="00123F60"/>
    <w:rsid w:val="00125E05"/>
    <w:rsid w:val="001318B6"/>
    <w:rsid w:val="00131FF2"/>
    <w:rsid w:val="00134091"/>
    <w:rsid w:val="00135615"/>
    <w:rsid w:val="0013613D"/>
    <w:rsid w:val="00136CB4"/>
    <w:rsid w:val="00136E37"/>
    <w:rsid w:val="0013756F"/>
    <w:rsid w:val="00137F89"/>
    <w:rsid w:val="00140119"/>
    <w:rsid w:val="00141086"/>
    <w:rsid w:val="00143D06"/>
    <w:rsid w:val="001442C2"/>
    <w:rsid w:val="00147174"/>
    <w:rsid w:val="0015170D"/>
    <w:rsid w:val="00152B27"/>
    <w:rsid w:val="00154F5E"/>
    <w:rsid w:val="00154F6C"/>
    <w:rsid w:val="00155A55"/>
    <w:rsid w:val="00162A97"/>
    <w:rsid w:val="00163CDD"/>
    <w:rsid w:val="00164C8E"/>
    <w:rsid w:val="0016702C"/>
    <w:rsid w:val="0016708A"/>
    <w:rsid w:val="0016715D"/>
    <w:rsid w:val="00171C25"/>
    <w:rsid w:val="00172952"/>
    <w:rsid w:val="00172E1D"/>
    <w:rsid w:val="00172ED0"/>
    <w:rsid w:val="00173297"/>
    <w:rsid w:val="001739AD"/>
    <w:rsid w:val="00173D08"/>
    <w:rsid w:val="0017557C"/>
    <w:rsid w:val="00175A1F"/>
    <w:rsid w:val="00181DBD"/>
    <w:rsid w:val="0018365F"/>
    <w:rsid w:val="001845E3"/>
    <w:rsid w:val="001852EB"/>
    <w:rsid w:val="001865FC"/>
    <w:rsid w:val="00186851"/>
    <w:rsid w:val="0018779F"/>
    <w:rsid w:val="00191411"/>
    <w:rsid w:val="001940C3"/>
    <w:rsid w:val="00197083"/>
    <w:rsid w:val="00197354"/>
    <w:rsid w:val="001A0E1A"/>
    <w:rsid w:val="001A0FE5"/>
    <w:rsid w:val="001A1DE1"/>
    <w:rsid w:val="001A32A6"/>
    <w:rsid w:val="001A5893"/>
    <w:rsid w:val="001A5CF9"/>
    <w:rsid w:val="001A6E10"/>
    <w:rsid w:val="001A7470"/>
    <w:rsid w:val="001B3BBF"/>
    <w:rsid w:val="001B51A5"/>
    <w:rsid w:val="001B7B60"/>
    <w:rsid w:val="001C0DD1"/>
    <w:rsid w:val="001C1536"/>
    <w:rsid w:val="001C1D3D"/>
    <w:rsid w:val="001C216E"/>
    <w:rsid w:val="001C2C3B"/>
    <w:rsid w:val="001C3326"/>
    <w:rsid w:val="001C65AA"/>
    <w:rsid w:val="001D0C93"/>
    <w:rsid w:val="001D2369"/>
    <w:rsid w:val="001D2F54"/>
    <w:rsid w:val="001D41FB"/>
    <w:rsid w:val="001D5D8B"/>
    <w:rsid w:val="001E30D8"/>
    <w:rsid w:val="001E3F31"/>
    <w:rsid w:val="001E3FF1"/>
    <w:rsid w:val="001F0C7D"/>
    <w:rsid w:val="001F233D"/>
    <w:rsid w:val="001F2A14"/>
    <w:rsid w:val="001F48BD"/>
    <w:rsid w:val="001F580C"/>
    <w:rsid w:val="001F70FB"/>
    <w:rsid w:val="0020321C"/>
    <w:rsid w:val="00204BF5"/>
    <w:rsid w:val="00204E19"/>
    <w:rsid w:val="002126F0"/>
    <w:rsid w:val="00213681"/>
    <w:rsid w:val="00213E94"/>
    <w:rsid w:val="002168B2"/>
    <w:rsid w:val="0021737C"/>
    <w:rsid w:val="0021748E"/>
    <w:rsid w:val="002214D7"/>
    <w:rsid w:val="00224733"/>
    <w:rsid w:val="0022582B"/>
    <w:rsid w:val="00225E7D"/>
    <w:rsid w:val="0022654B"/>
    <w:rsid w:val="00226A7E"/>
    <w:rsid w:val="002270F3"/>
    <w:rsid w:val="00227120"/>
    <w:rsid w:val="00231BBE"/>
    <w:rsid w:val="00233179"/>
    <w:rsid w:val="00233869"/>
    <w:rsid w:val="002339E7"/>
    <w:rsid w:val="00234466"/>
    <w:rsid w:val="00236688"/>
    <w:rsid w:val="00245841"/>
    <w:rsid w:val="0024685F"/>
    <w:rsid w:val="00252741"/>
    <w:rsid w:val="00253550"/>
    <w:rsid w:val="0026193F"/>
    <w:rsid w:val="002619AE"/>
    <w:rsid w:val="00261A47"/>
    <w:rsid w:val="00261EDA"/>
    <w:rsid w:val="00263EB1"/>
    <w:rsid w:val="002645FA"/>
    <w:rsid w:val="002658F3"/>
    <w:rsid w:val="00266AA8"/>
    <w:rsid w:val="00270E3B"/>
    <w:rsid w:val="002713DF"/>
    <w:rsid w:val="002770F1"/>
    <w:rsid w:val="0028006D"/>
    <w:rsid w:val="0028218D"/>
    <w:rsid w:val="00282639"/>
    <w:rsid w:val="0028310F"/>
    <w:rsid w:val="00283CE7"/>
    <w:rsid w:val="00285E50"/>
    <w:rsid w:val="00287177"/>
    <w:rsid w:val="00290365"/>
    <w:rsid w:val="002908EF"/>
    <w:rsid w:val="00291E11"/>
    <w:rsid w:val="00292DE8"/>
    <w:rsid w:val="00293E86"/>
    <w:rsid w:val="0029579F"/>
    <w:rsid w:val="00296187"/>
    <w:rsid w:val="00296C75"/>
    <w:rsid w:val="002A0037"/>
    <w:rsid w:val="002A169D"/>
    <w:rsid w:val="002A2736"/>
    <w:rsid w:val="002A408A"/>
    <w:rsid w:val="002A47A8"/>
    <w:rsid w:val="002A5349"/>
    <w:rsid w:val="002A6101"/>
    <w:rsid w:val="002A65D2"/>
    <w:rsid w:val="002A778C"/>
    <w:rsid w:val="002A7923"/>
    <w:rsid w:val="002B3276"/>
    <w:rsid w:val="002B4FAD"/>
    <w:rsid w:val="002B52C2"/>
    <w:rsid w:val="002B62BF"/>
    <w:rsid w:val="002B722B"/>
    <w:rsid w:val="002C05C2"/>
    <w:rsid w:val="002C1214"/>
    <w:rsid w:val="002C12C6"/>
    <w:rsid w:val="002C40DB"/>
    <w:rsid w:val="002C4D72"/>
    <w:rsid w:val="002D1267"/>
    <w:rsid w:val="002D19B5"/>
    <w:rsid w:val="002D3693"/>
    <w:rsid w:val="002E1068"/>
    <w:rsid w:val="002E1C82"/>
    <w:rsid w:val="002E3189"/>
    <w:rsid w:val="002E3535"/>
    <w:rsid w:val="002E4B1E"/>
    <w:rsid w:val="002E55B5"/>
    <w:rsid w:val="002E55F2"/>
    <w:rsid w:val="002E593D"/>
    <w:rsid w:val="002E5E43"/>
    <w:rsid w:val="002F257C"/>
    <w:rsid w:val="002F3292"/>
    <w:rsid w:val="002F5B35"/>
    <w:rsid w:val="002F71D9"/>
    <w:rsid w:val="002F7368"/>
    <w:rsid w:val="0030054C"/>
    <w:rsid w:val="003021A3"/>
    <w:rsid w:val="0030665F"/>
    <w:rsid w:val="00306A46"/>
    <w:rsid w:val="003074D0"/>
    <w:rsid w:val="003104A5"/>
    <w:rsid w:val="0031078E"/>
    <w:rsid w:val="00312FE7"/>
    <w:rsid w:val="0031449F"/>
    <w:rsid w:val="00315ECA"/>
    <w:rsid w:val="003164EE"/>
    <w:rsid w:val="0032093D"/>
    <w:rsid w:val="00322612"/>
    <w:rsid w:val="00322E75"/>
    <w:rsid w:val="003232D7"/>
    <w:rsid w:val="00323401"/>
    <w:rsid w:val="00323415"/>
    <w:rsid w:val="00323B4E"/>
    <w:rsid w:val="00324A49"/>
    <w:rsid w:val="00325AB6"/>
    <w:rsid w:val="0033031E"/>
    <w:rsid w:val="00335DC4"/>
    <w:rsid w:val="00336136"/>
    <w:rsid w:val="00340404"/>
    <w:rsid w:val="003425B3"/>
    <w:rsid w:val="003431DC"/>
    <w:rsid w:val="003473DA"/>
    <w:rsid w:val="00352836"/>
    <w:rsid w:val="00354757"/>
    <w:rsid w:val="0036565D"/>
    <w:rsid w:val="00370F10"/>
    <w:rsid w:val="00373F02"/>
    <w:rsid w:val="003742E0"/>
    <w:rsid w:val="00375131"/>
    <w:rsid w:val="003756B1"/>
    <w:rsid w:val="00376242"/>
    <w:rsid w:val="00380F59"/>
    <w:rsid w:val="00381C5B"/>
    <w:rsid w:val="0038271F"/>
    <w:rsid w:val="003841D3"/>
    <w:rsid w:val="003844B0"/>
    <w:rsid w:val="003845C8"/>
    <w:rsid w:val="003866A7"/>
    <w:rsid w:val="003878F9"/>
    <w:rsid w:val="00387FBF"/>
    <w:rsid w:val="0039049E"/>
    <w:rsid w:val="0039185A"/>
    <w:rsid w:val="00391FC5"/>
    <w:rsid w:val="00392482"/>
    <w:rsid w:val="00392BFC"/>
    <w:rsid w:val="00394180"/>
    <w:rsid w:val="0039523B"/>
    <w:rsid w:val="00396B64"/>
    <w:rsid w:val="003978F1"/>
    <w:rsid w:val="00397AEA"/>
    <w:rsid w:val="003A482F"/>
    <w:rsid w:val="003A5E9F"/>
    <w:rsid w:val="003B191E"/>
    <w:rsid w:val="003B2FA8"/>
    <w:rsid w:val="003B4C1D"/>
    <w:rsid w:val="003B625F"/>
    <w:rsid w:val="003B75A2"/>
    <w:rsid w:val="003C2325"/>
    <w:rsid w:val="003C2D17"/>
    <w:rsid w:val="003C311D"/>
    <w:rsid w:val="003C32A5"/>
    <w:rsid w:val="003C4FBB"/>
    <w:rsid w:val="003D2A12"/>
    <w:rsid w:val="003D3077"/>
    <w:rsid w:val="003D6C42"/>
    <w:rsid w:val="003E0515"/>
    <w:rsid w:val="003F1619"/>
    <w:rsid w:val="003F1E66"/>
    <w:rsid w:val="003F3451"/>
    <w:rsid w:val="003F37ED"/>
    <w:rsid w:val="003F4CD9"/>
    <w:rsid w:val="003F52E7"/>
    <w:rsid w:val="003F6C2A"/>
    <w:rsid w:val="003F6FBC"/>
    <w:rsid w:val="003F7044"/>
    <w:rsid w:val="004010F0"/>
    <w:rsid w:val="0040388E"/>
    <w:rsid w:val="00404461"/>
    <w:rsid w:val="0040659D"/>
    <w:rsid w:val="00407338"/>
    <w:rsid w:val="0041675F"/>
    <w:rsid w:val="0042032E"/>
    <w:rsid w:val="0042077C"/>
    <w:rsid w:val="004246AC"/>
    <w:rsid w:val="00424B74"/>
    <w:rsid w:val="00425AC8"/>
    <w:rsid w:val="00427F11"/>
    <w:rsid w:val="00431725"/>
    <w:rsid w:val="004359B0"/>
    <w:rsid w:val="00443FDD"/>
    <w:rsid w:val="00444057"/>
    <w:rsid w:val="00444F0B"/>
    <w:rsid w:val="0044536D"/>
    <w:rsid w:val="00445BB7"/>
    <w:rsid w:val="004467D2"/>
    <w:rsid w:val="004507A2"/>
    <w:rsid w:val="004518EA"/>
    <w:rsid w:val="00452C3B"/>
    <w:rsid w:val="00457540"/>
    <w:rsid w:val="00460268"/>
    <w:rsid w:val="004616D4"/>
    <w:rsid w:val="00461C52"/>
    <w:rsid w:val="00463081"/>
    <w:rsid w:val="0046435F"/>
    <w:rsid w:val="00464AAF"/>
    <w:rsid w:val="00464C09"/>
    <w:rsid w:val="00465BBD"/>
    <w:rsid w:val="004673CE"/>
    <w:rsid w:val="004709D9"/>
    <w:rsid w:val="0047153B"/>
    <w:rsid w:val="00472B84"/>
    <w:rsid w:val="00472E89"/>
    <w:rsid w:val="00473B1A"/>
    <w:rsid w:val="0047415D"/>
    <w:rsid w:val="00476B97"/>
    <w:rsid w:val="00476D00"/>
    <w:rsid w:val="004771C4"/>
    <w:rsid w:val="00477216"/>
    <w:rsid w:val="00477423"/>
    <w:rsid w:val="00481531"/>
    <w:rsid w:val="00481873"/>
    <w:rsid w:val="00482DD5"/>
    <w:rsid w:val="00483688"/>
    <w:rsid w:val="0048465B"/>
    <w:rsid w:val="00485300"/>
    <w:rsid w:val="004854C9"/>
    <w:rsid w:val="00485EAA"/>
    <w:rsid w:val="00493C37"/>
    <w:rsid w:val="00494958"/>
    <w:rsid w:val="00496C9E"/>
    <w:rsid w:val="004A1763"/>
    <w:rsid w:val="004A2138"/>
    <w:rsid w:val="004A449E"/>
    <w:rsid w:val="004A44A6"/>
    <w:rsid w:val="004A61DD"/>
    <w:rsid w:val="004B064E"/>
    <w:rsid w:val="004B13C8"/>
    <w:rsid w:val="004B232A"/>
    <w:rsid w:val="004B5054"/>
    <w:rsid w:val="004C4364"/>
    <w:rsid w:val="004C5A98"/>
    <w:rsid w:val="004D3CFB"/>
    <w:rsid w:val="004D7A15"/>
    <w:rsid w:val="004D7ED5"/>
    <w:rsid w:val="004E0B6D"/>
    <w:rsid w:val="004E0C5D"/>
    <w:rsid w:val="004E18B2"/>
    <w:rsid w:val="004E21B5"/>
    <w:rsid w:val="004E4608"/>
    <w:rsid w:val="004E5CC4"/>
    <w:rsid w:val="004E73F7"/>
    <w:rsid w:val="004F002C"/>
    <w:rsid w:val="004F2EEA"/>
    <w:rsid w:val="004F339C"/>
    <w:rsid w:val="004F4E40"/>
    <w:rsid w:val="004F5F0D"/>
    <w:rsid w:val="004F7A82"/>
    <w:rsid w:val="0050086F"/>
    <w:rsid w:val="005014A8"/>
    <w:rsid w:val="00501626"/>
    <w:rsid w:val="00502C3A"/>
    <w:rsid w:val="00504288"/>
    <w:rsid w:val="00505DDB"/>
    <w:rsid w:val="00506E41"/>
    <w:rsid w:val="005101A1"/>
    <w:rsid w:val="005114AB"/>
    <w:rsid w:val="00513BAC"/>
    <w:rsid w:val="0051537B"/>
    <w:rsid w:val="00516443"/>
    <w:rsid w:val="00516CEC"/>
    <w:rsid w:val="00517776"/>
    <w:rsid w:val="005239B1"/>
    <w:rsid w:val="00525045"/>
    <w:rsid w:val="00526190"/>
    <w:rsid w:val="005265B4"/>
    <w:rsid w:val="00526752"/>
    <w:rsid w:val="00526E00"/>
    <w:rsid w:val="00526F14"/>
    <w:rsid w:val="00527CFA"/>
    <w:rsid w:val="005309D5"/>
    <w:rsid w:val="00533C36"/>
    <w:rsid w:val="005359E7"/>
    <w:rsid w:val="0054229B"/>
    <w:rsid w:val="005430E5"/>
    <w:rsid w:val="00543A83"/>
    <w:rsid w:val="00543F70"/>
    <w:rsid w:val="00544F81"/>
    <w:rsid w:val="005453C3"/>
    <w:rsid w:val="005461D1"/>
    <w:rsid w:val="00550D1B"/>
    <w:rsid w:val="00552893"/>
    <w:rsid w:val="00553257"/>
    <w:rsid w:val="00556B1B"/>
    <w:rsid w:val="00565368"/>
    <w:rsid w:val="005664F0"/>
    <w:rsid w:val="00571A9C"/>
    <w:rsid w:val="00574322"/>
    <w:rsid w:val="005747DB"/>
    <w:rsid w:val="0057691E"/>
    <w:rsid w:val="00576C86"/>
    <w:rsid w:val="005773A1"/>
    <w:rsid w:val="0058140A"/>
    <w:rsid w:val="00581898"/>
    <w:rsid w:val="00582C55"/>
    <w:rsid w:val="005837C2"/>
    <w:rsid w:val="005861E9"/>
    <w:rsid w:val="005938FC"/>
    <w:rsid w:val="0059687E"/>
    <w:rsid w:val="005A0DD3"/>
    <w:rsid w:val="005A0EC5"/>
    <w:rsid w:val="005A4380"/>
    <w:rsid w:val="005A44D6"/>
    <w:rsid w:val="005A58EA"/>
    <w:rsid w:val="005A7AC3"/>
    <w:rsid w:val="005B0F02"/>
    <w:rsid w:val="005B1BA9"/>
    <w:rsid w:val="005B4FB4"/>
    <w:rsid w:val="005B6856"/>
    <w:rsid w:val="005B6BE9"/>
    <w:rsid w:val="005B6C73"/>
    <w:rsid w:val="005B72B0"/>
    <w:rsid w:val="005B782B"/>
    <w:rsid w:val="005C093B"/>
    <w:rsid w:val="005C0CDB"/>
    <w:rsid w:val="005C28EC"/>
    <w:rsid w:val="005C2DF8"/>
    <w:rsid w:val="005C46EB"/>
    <w:rsid w:val="005C70C3"/>
    <w:rsid w:val="005D1C6F"/>
    <w:rsid w:val="005D1DF2"/>
    <w:rsid w:val="005D250A"/>
    <w:rsid w:val="005D2C72"/>
    <w:rsid w:val="005D2CDA"/>
    <w:rsid w:val="005D3D73"/>
    <w:rsid w:val="005D585A"/>
    <w:rsid w:val="005D58CE"/>
    <w:rsid w:val="005D6FD7"/>
    <w:rsid w:val="005D7EE2"/>
    <w:rsid w:val="005E00A6"/>
    <w:rsid w:val="005E23E1"/>
    <w:rsid w:val="005E2B99"/>
    <w:rsid w:val="005F0DDB"/>
    <w:rsid w:val="005F52D6"/>
    <w:rsid w:val="005F5D45"/>
    <w:rsid w:val="005F703F"/>
    <w:rsid w:val="006028D1"/>
    <w:rsid w:val="006063A5"/>
    <w:rsid w:val="00607103"/>
    <w:rsid w:val="00613976"/>
    <w:rsid w:val="006148C0"/>
    <w:rsid w:val="00614DD9"/>
    <w:rsid w:val="00616731"/>
    <w:rsid w:val="00616A91"/>
    <w:rsid w:val="00620356"/>
    <w:rsid w:val="006219F8"/>
    <w:rsid w:val="00623504"/>
    <w:rsid w:val="0062716A"/>
    <w:rsid w:val="00627E5E"/>
    <w:rsid w:val="00627ED4"/>
    <w:rsid w:val="00630DCB"/>
    <w:rsid w:val="00632AF0"/>
    <w:rsid w:val="00634948"/>
    <w:rsid w:val="00635BF3"/>
    <w:rsid w:val="006372D8"/>
    <w:rsid w:val="006379A2"/>
    <w:rsid w:val="00641114"/>
    <w:rsid w:val="006415CF"/>
    <w:rsid w:val="006426DD"/>
    <w:rsid w:val="0064454E"/>
    <w:rsid w:val="00651637"/>
    <w:rsid w:val="00652048"/>
    <w:rsid w:val="00653AB1"/>
    <w:rsid w:val="006553EC"/>
    <w:rsid w:val="00657449"/>
    <w:rsid w:val="0066142A"/>
    <w:rsid w:val="00664A35"/>
    <w:rsid w:val="006658F5"/>
    <w:rsid w:val="00665941"/>
    <w:rsid w:val="00665C35"/>
    <w:rsid w:val="00666191"/>
    <w:rsid w:val="0066705F"/>
    <w:rsid w:val="0066707E"/>
    <w:rsid w:val="00667BD8"/>
    <w:rsid w:val="00667D24"/>
    <w:rsid w:val="00677327"/>
    <w:rsid w:val="006805EB"/>
    <w:rsid w:val="00686EFB"/>
    <w:rsid w:val="00686FB1"/>
    <w:rsid w:val="00691A71"/>
    <w:rsid w:val="00692F0E"/>
    <w:rsid w:val="00694911"/>
    <w:rsid w:val="006A6559"/>
    <w:rsid w:val="006A7E48"/>
    <w:rsid w:val="006B0315"/>
    <w:rsid w:val="006B57F1"/>
    <w:rsid w:val="006B59F8"/>
    <w:rsid w:val="006B6F6A"/>
    <w:rsid w:val="006C3E15"/>
    <w:rsid w:val="006C7D83"/>
    <w:rsid w:val="006D3280"/>
    <w:rsid w:val="006D68E7"/>
    <w:rsid w:val="006D74CD"/>
    <w:rsid w:val="006E0AD6"/>
    <w:rsid w:val="006E548A"/>
    <w:rsid w:val="006F0297"/>
    <w:rsid w:val="006F1BC3"/>
    <w:rsid w:val="006F3078"/>
    <w:rsid w:val="006F3391"/>
    <w:rsid w:val="006F50F5"/>
    <w:rsid w:val="006F7DAC"/>
    <w:rsid w:val="00704C53"/>
    <w:rsid w:val="0071100D"/>
    <w:rsid w:val="00711DA0"/>
    <w:rsid w:val="00714452"/>
    <w:rsid w:val="00715F7C"/>
    <w:rsid w:val="00716E1E"/>
    <w:rsid w:val="00720B6D"/>
    <w:rsid w:val="00721671"/>
    <w:rsid w:val="00723CF7"/>
    <w:rsid w:val="007247E5"/>
    <w:rsid w:val="00725350"/>
    <w:rsid w:val="00725568"/>
    <w:rsid w:val="00726AD4"/>
    <w:rsid w:val="00727157"/>
    <w:rsid w:val="00727FB6"/>
    <w:rsid w:val="00734607"/>
    <w:rsid w:val="00734B93"/>
    <w:rsid w:val="00737087"/>
    <w:rsid w:val="00742E49"/>
    <w:rsid w:val="007439D5"/>
    <w:rsid w:val="00743BC6"/>
    <w:rsid w:val="0074676E"/>
    <w:rsid w:val="00747D69"/>
    <w:rsid w:val="00750506"/>
    <w:rsid w:val="007506B1"/>
    <w:rsid w:val="00752E69"/>
    <w:rsid w:val="007532F8"/>
    <w:rsid w:val="00755AB6"/>
    <w:rsid w:val="007613A3"/>
    <w:rsid w:val="007627D2"/>
    <w:rsid w:val="00764448"/>
    <w:rsid w:val="00766AFC"/>
    <w:rsid w:val="00766BA1"/>
    <w:rsid w:val="00766EB6"/>
    <w:rsid w:val="00770176"/>
    <w:rsid w:val="0077167B"/>
    <w:rsid w:val="00771C88"/>
    <w:rsid w:val="007763F9"/>
    <w:rsid w:val="00777864"/>
    <w:rsid w:val="0078161C"/>
    <w:rsid w:val="00781B16"/>
    <w:rsid w:val="007901A4"/>
    <w:rsid w:val="007908C8"/>
    <w:rsid w:val="007919F9"/>
    <w:rsid w:val="00794F89"/>
    <w:rsid w:val="00796AEB"/>
    <w:rsid w:val="0079719B"/>
    <w:rsid w:val="00797344"/>
    <w:rsid w:val="007A1FA0"/>
    <w:rsid w:val="007A2018"/>
    <w:rsid w:val="007A33EF"/>
    <w:rsid w:val="007A49CC"/>
    <w:rsid w:val="007A6086"/>
    <w:rsid w:val="007A7A14"/>
    <w:rsid w:val="007B0887"/>
    <w:rsid w:val="007B0DE1"/>
    <w:rsid w:val="007B0FAD"/>
    <w:rsid w:val="007B4055"/>
    <w:rsid w:val="007B622E"/>
    <w:rsid w:val="007C12D3"/>
    <w:rsid w:val="007C14AF"/>
    <w:rsid w:val="007C1E19"/>
    <w:rsid w:val="007C222F"/>
    <w:rsid w:val="007C35DF"/>
    <w:rsid w:val="007D0152"/>
    <w:rsid w:val="007D0A76"/>
    <w:rsid w:val="007D0FBC"/>
    <w:rsid w:val="007D148F"/>
    <w:rsid w:val="007E1A92"/>
    <w:rsid w:val="007E34B8"/>
    <w:rsid w:val="007E39C2"/>
    <w:rsid w:val="007E4520"/>
    <w:rsid w:val="007E71D7"/>
    <w:rsid w:val="007E79F8"/>
    <w:rsid w:val="007F0145"/>
    <w:rsid w:val="007F49BD"/>
    <w:rsid w:val="007F6FED"/>
    <w:rsid w:val="0080031A"/>
    <w:rsid w:val="00801093"/>
    <w:rsid w:val="0080127F"/>
    <w:rsid w:val="00801FC2"/>
    <w:rsid w:val="008024AC"/>
    <w:rsid w:val="00802FF5"/>
    <w:rsid w:val="00803A37"/>
    <w:rsid w:val="0080502A"/>
    <w:rsid w:val="00805E2B"/>
    <w:rsid w:val="0081006C"/>
    <w:rsid w:val="00811D81"/>
    <w:rsid w:val="0081341B"/>
    <w:rsid w:val="00816D3C"/>
    <w:rsid w:val="008236A5"/>
    <w:rsid w:val="0082388A"/>
    <w:rsid w:val="00823A99"/>
    <w:rsid w:val="00824FF5"/>
    <w:rsid w:val="00825B67"/>
    <w:rsid w:val="00826CCF"/>
    <w:rsid w:val="00830E37"/>
    <w:rsid w:val="00832436"/>
    <w:rsid w:val="00837DD5"/>
    <w:rsid w:val="00841F63"/>
    <w:rsid w:val="00842279"/>
    <w:rsid w:val="00842623"/>
    <w:rsid w:val="008450E7"/>
    <w:rsid w:val="008462D2"/>
    <w:rsid w:val="00847504"/>
    <w:rsid w:val="00850C34"/>
    <w:rsid w:val="008564CB"/>
    <w:rsid w:val="00860CF5"/>
    <w:rsid w:val="00861419"/>
    <w:rsid w:val="00863885"/>
    <w:rsid w:val="00865921"/>
    <w:rsid w:val="0086617C"/>
    <w:rsid w:val="00867CEA"/>
    <w:rsid w:val="008727A1"/>
    <w:rsid w:val="00873D56"/>
    <w:rsid w:val="00876001"/>
    <w:rsid w:val="0088129C"/>
    <w:rsid w:val="00882DC3"/>
    <w:rsid w:val="00882F00"/>
    <w:rsid w:val="00884E07"/>
    <w:rsid w:val="00884EF0"/>
    <w:rsid w:val="00892921"/>
    <w:rsid w:val="00892A00"/>
    <w:rsid w:val="00893642"/>
    <w:rsid w:val="008A078D"/>
    <w:rsid w:val="008A23A4"/>
    <w:rsid w:val="008A4224"/>
    <w:rsid w:val="008B11E7"/>
    <w:rsid w:val="008B29EC"/>
    <w:rsid w:val="008B4388"/>
    <w:rsid w:val="008B606E"/>
    <w:rsid w:val="008B7B66"/>
    <w:rsid w:val="008C3547"/>
    <w:rsid w:val="008C3C29"/>
    <w:rsid w:val="008C3FB7"/>
    <w:rsid w:val="008C6701"/>
    <w:rsid w:val="008C7BC5"/>
    <w:rsid w:val="008D1FEA"/>
    <w:rsid w:val="008D27E6"/>
    <w:rsid w:val="008D2AE1"/>
    <w:rsid w:val="008D2C39"/>
    <w:rsid w:val="008D2C9E"/>
    <w:rsid w:val="008D52F8"/>
    <w:rsid w:val="008D78F4"/>
    <w:rsid w:val="008E1108"/>
    <w:rsid w:val="008E4ACF"/>
    <w:rsid w:val="008E5213"/>
    <w:rsid w:val="008E75DB"/>
    <w:rsid w:val="008F0048"/>
    <w:rsid w:val="008F09B0"/>
    <w:rsid w:val="008F16AE"/>
    <w:rsid w:val="008F2F20"/>
    <w:rsid w:val="008F4955"/>
    <w:rsid w:val="008F5513"/>
    <w:rsid w:val="008F5555"/>
    <w:rsid w:val="00903486"/>
    <w:rsid w:val="00903933"/>
    <w:rsid w:val="00905B79"/>
    <w:rsid w:val="00906D37"/>
    <w:rsid w:val="0091336D"/>
    <w:rsid w:val="009134E2"/>
    <w:rsid w:val="00914A6A"/>
    <w:rsid w:val="00914A7E"/>
    <w:rsid w:val="0091645F"/>
    <w:rsid w:val="00916802"/>
    <w:rsid w:val="00917652"/>
    <w:rsid w:val="009178E5"/>
    <w:rsid w:val="00917BE2"/>
    <w:rsid w:val="0092134C"/>
    <w:rsid w:val="00921A86"/>
    <w:rsid w:val="00923C89"/>
    <w:rsid w:val="00924F80"/>
    <w:rsid w:val="009264E0"/>
    <w:rsid w:val="00930100"/>
    <w:rsid w:val="009301D9"/>
    <w:rsid w:val="00936EE1"/>
    <w:rsid w:val="00940B2B"/>
    <w:rsid w:val="00940E6D"/>
    <w:rsid w:val="0094318D"/>
    <w:rsid w:val="00944056"/>
    <w:rsid w:val="00944F1D"/>
    <w:rsid w:val="00945D27"/>
    <w:rsid w:val="00945D9F"/>
    <w:rsid w:val="00947CCD"/>
    <w:rsid w:val="00951B85"/>
    <w:rsid w:val="009523B5"/>
    <w:rsid w:val="00953EDA"/>
    <w:rsid w:val="00954764"/>
    <w:rsid w:val="009548F6"/>
    <w:rsid w:val="00960F66"/>
    <w:rsid w:val="00962299"/>
    <w:rsid w:val="0096584A"/>
    <w:rsid w:val="00965B81"/>
    <w:rsid w:val="00966C2F"/>
    <w:rsid w:val="00970962"/>
    <w:rsid w:val="00975D90"/>
    <w:rsid w:val="00976AF6"/>
    <w:rsid w:val="009776F4"/>
    <w:rsid w:val="00977B66"/>
    <w:rsid w:val="00983966"/>
    <w:rsid w:val="00983EFF"/>
    <w:rsid w:val="00985C6A"/>
    <w:rsid w:val="0098680D"/>
    <w:rsid w:val="0099039E"/>
    <w:rsid w:val="009A00A7"/>
    <w:rsid w:val="009A169C"/>
    <w:rsid w:val="009A344A"/>
    <w:rsid w:val="009A3D2C"/>
    <w:rsid w:val="009A4719"/>
    <w:rsid w:val="009A56B5"/>
    <w:rsid w:val="009A74E3"/>
    <w:rsid w:val="009A7DC4"/>
    <w:rsid w:val="009B074A"/>
    <w:rsid w:val="009B22B5"/>
    <w:rsid w:val="009B4A50"/>
    <w:rsid w:val="009B6E20"/>
    <w:rsid w:val="009C0267"/>
    <w:rsid w:val="009C3DFA"/>
    <w:rsid w:val="009C4AF8"/>
    <w:rsid w:val="009C51D7"/>
    <w:rsid w:val="009D5AD7"/>
    <w:rsid w:val="009E13E0"/>
    <w:rsid w:val="009E5536"/>
    <w:rsid w:val="009E68A4"/>
    <w:rsid w:val="009E6ACA"/>
    <w:rsid w:val="009E7D08"/>
    <w:rsid w:val="009F09E9"/>
    <w:rsid w:val="009F4955"/>
    <w:rsid w:val="009F59EC"/>
    <w:rsid w:val="009F5B17"/>
    <w:rsid w:val="009F647D"/>
    <w:rsid w:val="009F7F91"/>
    <w:rsid w:val="00A00C99"/>
    <w:rsid w:val="00A016FD"/>
    <w:rsid w:val="00A04041"/>
    <w:rsid w:val="00A06B05"/>
    <w:rsid w:val="00A11743"/>
    <w:rsid w:val="00A153FE"/>
    <w:rsid w:val="00A16029"/>
    <w:rsid w:val="00A166C2"/>
    <w:rsid w:val="00A17795"/>
    <w:rsid w:val="00A17D1B"/>
    <w:rsid w:val="00A20F5F"/>
    <w:rsid w:val="00A22463"/>
    <w:rsid w:val="00A2434C"/>
    <w:rsid w:val="00A245A6"/>
    <w:rsid w:val="00A26ACB"/>
    <w:rsid w:val="00A278AA"/>
    <w:rsid w:val="00A27F79"/>
    <w:rsid w:val="00A31ABB"/>
    <w:rsid w:val="00A339D9"/>
    <w:rsid w:val="00A33B38"/>
    <w:rsid w:val="00A370FF"/>
    <w:rsid w:val="00A4009A"/>
    <w:rsid w:val="00A42D3E"/>
    <w:rsid w:val="00A43A35"/>
    <w:rsid w:val="00A45C48"/>
    <w:rsid w:val="00A45CF4"/>
    <w:rsid w:val="00A47B64"/>
    <w:rsid w:val="00A47F4D"/>
    <w:rsid w:val="00A50922"/>
    <w:rsid w:val="00A51083"/>
    <w:rsid w:val="00A52067"/>
    <w:rsid w:val="00A542F4"/>
    <w:rsid w:val="00A553D7"/>
    <w:rsid w:val="00A556F2"/>
    <w:rsid w:val="00A55DAA"/>
    <w:rsid w:val="00A618DA"/>
    <w:rsid w:val="00A62DC0"/>
    <w:rsid w:val="00A6395C"/>
    <w:rsid w:val="00A66877"/>
    <w:rsid w:val="00A66C51"/>
    <w:rsid w:val="00A676EB"/>
    <w:rsid w:val="00A67E29"/>
    <w:rsid w:val="00A7138D"/>
    <w:rsid w:val="00A725A1"/>
    <w:rsid w:val="00A74D82"/>
    <w:rsid w:val="00A76F6F"/>
    <w:rsid w:val="00A80B0C"/>
    <w:rsid w:val="00A82C76"/>
    <w:rsid w:val="00A8635F"/>
    <w:rsid w:val="00A87AF1"/>
    <w:rsid w:val="00A90198"/>
    <w:rsid w:val="00A91FEB"/>
    <w:rsid w:val="00A93FDA"/>
    <w:rsid w:val="00A94C55"/>
    <w:rsid w:val="00A9512F"/>
    <w:rsid w:val="00A969AC"/>
    <w:rsid w:val="00A96C53"/>
    <w:rsid w:val="00AA0F74"/>
    <w:rsid w:val="00AA13B9"/>
    <w:rsid w:val="00AA1A1C"/>
    <w:rsid w:val="00AA67A6"/>
    <w:rsid w:val="00AA7567"/>
    <w:rsid w:val="00AA77E3"/>
    <w:rsid w:val="00AA799C"/>
    <w:rsid w:val="00AB03F6"/>
    <w:rsid w:val="00AB3759"/>
    <w:rsid w:val="00AB6B3A"/>
    <w:rsid w:val="00AB7C5A"/>
    <w:rsid w:val="00AC112C"/>
    <w:rsid w:val="00AC3E92"/>
    <w:rsid w:val="00AC4F69"/>
    <w:rsid w:val="00AC5170"/>
    <w:rsid w:val="00AC6528"/>
    <w:rsid w:val="00AC66FC"/>
    <w:rsid w:val="00AC696D"/>
    <w:rsid w:val="00AD0552"/>
    <w:rsid w:val="00AD1EC4"/>
    <w:rsid w:val="00AE3214"/>
    <w:rsid w:val="00AE3751"/>
    <w:rsid w:val="00AE434F"/>
    <w:rsid w:val="00AE5271"/>
    <w:rsid w:val="00AE57F3"/>
    <w:rsid w:val="00AF0CF6"/>
    <w:rsid w:val="00AF1B1E"/>
    <w:rsid w:val="00AF27BD"/>
    <w:rsid w:val="00AF4D91"/>
    <w:rsid w:val="00AF5654"/>
    <w:rsid w:val="00B01C94"/>
    <w:rsid w:val="00B03E99"/>
    <w:rsid w:val="00B063B0"/>
    <w:rsid w:val="00B07D65"/>
    <w:rsid w:val="00B07FF9"/>
    <w:rsid w:val="00B1073B"/>
    <w:rsid w:val="00B13AD0"/>
    <w:rsid w:val="00B163E7"/>
    <w:rsid w:val="00B20F76"/>
    <w:rsid w:val="00B21598"/>
    <w:rsid w:val="00B236C1"/>
    <w:rsid w:val="00B25EC4"/>
    <w:rsid w:val="00B279D1"/>
    <w:rsid w:val="00B27B96"/>
    <w:rsid w:val="00B30A2B"/>
    <w:rsid w:val="00B30AB1"/>
    <w:rsid w:val="00B317D5"/>
    <w:rsid w:val="00B31E3C"/>
    <w:rsid w:val="00B32007"/>
    <w:rsid w:val="00B33139"/>
    <w:rsid w:val="00B33140"/>
    <w:rsid w:val="00B34445"/>
    <w:rsid w:val="00B34C10"/>
    <w:rsid w:val="00B41221"/>
    <w:rsid w:val="00B439C5"/>
    <w:rsid w:val="00B44C89"/>
    <w:rsid w:val="00B47291"/>
    <w:rsid w:val="00B53C12"/>
    <w:rsid w:val="00B54936"/>
    <w:rsid w:val="00B55190"/>
    <w:rsid w:val="00B55CEA"/>
    <w:rsid w:val="00B6111D"/>
    <w:rsid w:val="00B664F6"/>
    <w:rsid w:val="00B760DF"/>
    <w:rsid w:val="00B816B9"/>
    <w:rsid w:val="00B827E8"/>
    <w:rsid w:val="00B86352"/>
    <w:rsid w:val="00B91EC1"/>
    <w:rsid w:val="00B91F3A"/>
    <w:rsid w:val="00B92603"/>
    <w:rsid w:val="00B953DE"/>
    <w:rsid w:val="00B96155"/>
    <w:rsid w:val="00BA0E86"/>
    <w:rsid w:val="00BA1107"/>
    <w:rsid w:val="00BA179B"/>
    <w:rsid w:val="00BA2579"/>
    <w:rsid w:val="00BA39FB"/>
    <w:rsid w:val="00BA79DB"/>
    <w:rsid w:val="00BA7B8E"/>
    <w:rsid w:val="00BB18DE"/>
    <w:rsid w:val="00BB370B"/>
    <w:rsid w:val="00BB3F09"/>
    <w:rsid w:val="00BB5ADB"/>
    <w:rsid w:val="00BC0062"/>
    <w:rsid w:val="00BC056C"/>
    <w:rsid w:val="00BC06A8"/>
    <w:rsid w:val="00BC0B69"/>
    <w:rsid w:val="00BC13D8"/>
    <w:rsid w:val="00BC21B8"/>
    <w:rsid w:val="00BC3325"/>
    <w:rsid w:val="00BC3F42"/>
    <w:rsid w:val="00BC4120"/>
    <w:rsid w:val="00BC4257"/>
    <w:rsid w:val="00BC4EE4"/>
    <w:rsid w:val="00BC6F76"/>
    <w:rsid w:val="00BC7132"/>
    <w:rsid w:val="00BC71BF"/>
    <w:rsid w:val="00BC778D"/>
    <w:rsid w:val="00BD18D0"/>
    <w:rsid w:val="00BD3B88"/>
    <w:rsid w:val="00BD4DF6"/>
    <w:rsid w:val="00BD6FA2"/>
    <w:rsid w:val="00BD771C"/>
    <w:rsid w:val="00BE35D5"/>
    <w:rsid w:val="00BE3A11"/>
    <w:rsid w:val="00BF27EC"/>
    <w:rsid w:val="00BF45A3"/>
    <w:rsid w:val="00BF4B54"/>
    <w:rsid w:val="00BF7068"/>
    <w:rsid w:val="00BF7C5C"/>
    <w:rsid w:val="00C009F0"/>
    <w:rsid w:val="00C05428"/>
    <w:rsid w:val="00C074C2"/>
    <w:rsid w:val="00C132C6"/>
    <w:rsid w:val="00C134C5"/>
    <w:rsid w:val="00C13774"/>
    <w:rsid w:val="00C13FEC"/>
    <w:rsid w:val="00C1575A"/>
    <w:rsid w:val="00C16927"/>
    <w:rsid w:val="00C17DF1"/>
    <w:rsid w:val="00C210FA"/>
    <w:rsid w:val="00C21695"/>
    <w:rsid w:val="00C252A8"/>
    <w:rsid w:val="00C25E2C"/>
    <w:rsid w:val="00C306E4"/>
    <w:rsid w:val="00C3281C"/>
    <w:rsid w:val="00C349B6"/>
    <w:rsid w:val="00C365C4"/>
    <w:rsid w:val="00C402C8"/>
    <w:rsid w:val="00C414D4"/>
    <w:rsid w:val="00C4338A"/>
    <w:rsid w:val="00C47868"/>
    <w:rsid w:val="00C54138"/>
    <w:rsid w:val="00C55C3D"/>
    <w:rsid w:val="00C57B2C"/>
    <w:rsid w:val="00C634F8"/>
    <w:rsid w:val="00C7182C"/>
    <w:rsid w:val="00C725E9"/>
    <w:rsid w:val="00C72EAA"/>
    <w:rsid w:val="00C73C98"/>
    <w:rsid w:val="00C7677A"/>
    <w:rsid w:val="00C82346"/>
    <w:rsid w:val="00C83429"/>
    <w:rsid w:val="00C8409D"/>
    <w:rsid w:val="00C84DFE"/>
    <w:rsid w:val="00C90EA7"/>
    <w:rsid w:val="00C91233"/>
    <w:rsid w:val="00C91C98"/>
    <w:rsid w:val="00C92A29"/>
    <w:rsid w:val="00CA2261"/>
    <w:rsid w:val="00CA29E7"/>
    <w:rsid w:val="00CA43FD"/>
    <w:rsid w:val="00CA5B00"/>
    <w:rsid w:val="00CA61E7"/>
    <w:rsid w:val="00CA6897"/>
    <w:rsid w:val="00CA783C"/>
    <w:rsid w:val="00CB0127"/>
    <w:rsid w:val="00CB1378"/>
    <w:rsid w:val="00CB276B"/>
    <w:rsid w:val="00CB285D"/>
    <w:rsid w:val="00CB34EF"/>
    <w:rsid w:val="00CB3F43"/>
    <w:rsid w:val="00CB4732"/>
    <w:rsid w:val="00CB53C4"/>
    <w:rsid w:val="00CB594E"/>
    <w:rsid w:val="00CB7577"/>
    <w:rsid w:val="00CB7B5E"/>
    <w:rsid w:val="00CC1839"/>
    <w:rsid w:val="00CC1D91"/>
    <w:rsid w:val="00CC3EEA"/>
    <w:rsid w:val="00CC47BB"/>
    <w:rsid w:val="00CD03F1"/>
    <w:rsid w:val="00CD77B3"/>
    <w:rsid w:val="00CD77DF"/>
    <w:rsid w:val="00CD7C2A"/>
    <w:rsid w:val="00CE02FE"/>
    <w:rsid w:val="00CE1705"/>
    <w:rsid w:val="00CE3729"/>
    <w:rsid w:val="00CE618E"/>
    <w:rsid w:val="00D01061"/>
    <w:rsid w:val="00D0119E"/>
    <w:rsid w:val="00D03E01"/>
    <w:rsid w:val="00D04432"/>
    <w:rsid w:val="00D054D0"/>
    <w:rsid w:val="00D0752B"/>
    <w:rsid w:val="00D10750"/>
    <w:rsid w:val="00D11BD5"/>
    <w:rsid w:val="00D12298"/>
    <w:rsid w:val="00D16FCD"/>
    <w:rsid w:val="00D175BB"/>
    <w:rsid w:val="00D21B22"/>
    <w:rsid w:val="00D22E13"/>
    <w:rsid w:val="00D22F22"/>
    <w:rsid w:val="00D248E1"/>
    <w:rsid w:val="00D27A60"/>
    <w:rsid w:val="00D3298F"/>
    <w:rsid w:val="00D34D52"/>
    <w:rsid w:val="00D35294"/>
    <w:rsid w:val="00D353B6"/>
    <w:rsid w:val="00D42E5B"/>
    <w:rsid w:val="00D43601"/>
    <w:rsid w:val="00D43BFE"/>
    <w:rsid w:val="00D44727"/>
    <w:rsid w:val="00D478C7"/>
    <w:rsid w:val="00D47A90"/>
    <w:rsid w:val="00D50DCB"/>
    <w:rsid w:val="00D51376"/>
    <w:rsid w:val="00D5241F"/>
    <w:rsid w:val="00D52879"/>
    <w:rsid w:val="00D53D51"/>
    <w:rsid w:val="00D6156A"/>
    <w:rsid w:val="00D62C91"/>
    <w:rsid w:val="00D65AD9"/>
    <w:rsid w:val="00D66600"/>
    <w:rsid w:val="00D66B8D"/>
    <w:rsid w:val="00D74E5A"/>
    <w:rsid w:val="00D75895"/>
    <w:rsid w:val="00D75C83"/>
    <w:rsid w:val="00D75D6B"/>
    <w:rsid w:val="00D767A7"/>
    <w:rsid w:val="00D76848"/>
    <w:rsid w:val="00D7795E"/>
    <w:rsid w:val="00D85DC9"/>
    <w:rsid w:val="00D90E78"/>
    <w:rsid w:val="00D9192E"/>
    <w:rsid w:val="00D922EB"/>
    <w:rsid w:val="00D92CA0"/>
    <w:rsid w:val="00D93C80"/>
    <w:rsid w:val="00D9445A"/>
    <w:rsid w:val="00D94821"/>
    <w:rsid w:val="00D96C9B"/>
    <w:rsid w:val="00D97D96"/>
    <w:rsid w:val="00DA04BC"/>
    <w:rsid w:val="00DA20C2"/>
    <w:rsid w:val="00DA25D7"/>
    <w:rsid w:val="00DB315F"/>
    <w:rsid w:val="00DB5419"/>
    <w:rsid w:val="00DB6C75"/>
    <w:rsid w:val="00DB7271"/>
    <w:rsid w:val="00DC4682"/>
    <w:rsid w:val="00DC4D2D"/>
    <w:rsid w:val="00DC5DDA"/>
    <w:rsid w:val="00DC5FBE"/>
    <w:rsid w:val="00DC73AF"/>
    <w:rsid w:val="00DC760F"/>
    <w:rsid w:val="00DD12A1"/>
    <w:rsid w:val="00DD217F"/>
    <w:rsid w:val="00DD2239"/>
    <w:rsid w:val="00DD29E9"/>
    <w:rsid w:val="00DE04FF"/>
    <w:rsid w:val="00DE0C11"/>
    <w:rsid w:val="00DE1121"/>
    <w:rsid w:val="00DE2810"/>
    <w:rsid w:val="00DE3F05"/>
    <w:rsid w:val="00DE45AC"/>
    <w:rsid w:val="00DE5C80"/>
    <w:rsid w:val="00DF1AC9"/>
    <w:rsid w:val="00DF642A"/>
    <w:rsid w:val="00DF6ABD"/>
    <w:rsid w:val="00DF6BB6"/>
    <w:rsid w:val="00E05240"/>
    <w:rsid w:val="00E070E2"/>
    <w:rsid w:val="00E12E0B"/>
    <w:rsid w:val="00E14B60"/>
    <w:rsid w:val="00E15F44"/>
    <w:rsid w:val="00E20561"/>
    <w:rsid w:val="00E21036"/>
    <w:rsid w:val="00E2142E"/>
    <w:rsid w:val="00E243FA"/>
    <w:rsid w:val="00E2484F"/>
    <w:rsid w:val="00E273A7"/>
    <w:rsid w:val="00E277DA"/>
    <w:rsid w:val="00E31703"/>
    <w:rsid w:val="00E32A6E"/>
    <w:rsid w:val="00E3381C"/>
    <w:rsid w:val="00E40EBB"/>
    <w:rsid w:val="00E43AD2"/>
    <w:rsid w:val="00E44246"/>
    <w:rsid w:val="00E4547A"/>
    <w:rsid w:val="00E51F27"/>
    <w:rsid w:val="00E53FE1"/>
    <w:rsid w:val="00E54178"/>
    <w:rsid w:val="00E5512C"/>
    <w:rsid w:val="00E55CCA"/>
    <w:rsid w:val="00E55E7B"/>
    <w:rsid w:val="00E617C6"/>
    <w:rsid w:val="00E6370B"/>
    <w:rsid w:val="00E63CB7"/>
    <w:rsid w:val="00E64474"/>
    <w:rsid w:val="00E67DAB"/>
    <w:rsid w:val="00E70E56"/>
    <w:rsid w:val="00E7361F"/>
    <w:rsid w:val="00E74DFC"/>
    <w:rsid w:val="00E77D9B"/>
    <w:rsid w:val="00E80E0A"/>
    <w:rsid w:val="00E82484"/>
    <w:rsid w:val="00E83851"/>
    <w:rsid w:val="00E84FEE"/>
    <w:rsid w:val="00E85FDE"/>
    <w:rsid w:val="00E86D58"/>
    <w:rsid w:val="00E9191C"/>
    <w:rsid w:val="00E92E44"/>
    <w:rsid w:val="00E93EF0"/>
    <w:rsid w:val="00E93FBE"/>
    <w:rsid w:val="00E94604"/>
    <w:rsid w:val="00E97C9E"/>
    <w:rsid w:val="00EA1829"/>
    <w:rsid w:val="00EA2414"/>
    <w:rsid w:val="00EA35B2"/>
    <w:rsid w:val="00EA3911"/>
    <w:rsid w:val="00EB1204"/>
    <w:rsid w:val="00EB1DFD"/>
    <w:rsid w:val="00EB387A"/>
    <w:rsid w:val="00EB3E6A"/>
    <w:rsid w:val="00EB52FD"/>
    <w:rsid w:val="00EB6170"/>
    <w:rsid w:val="00EB68D3"/>
    <w:rsid w:val="00EB7013"/>
    <w:rsid w:val="00EC198B"/>
    <w:rsid w:val="00EC43F9"/>
    <w:rsid w:val="00EC5DD1"/>
    <w:rsid w:val="00EC71CA"/>
    <w:rsid w:val="00EC7361"/>
    <w:rsid w:val="00EC773A"/>
    <w:rsid w:val="00ED0CDF"/>
    <w:rsid w:val="00ED1B2E"/>
    <w:rsid w:val="00ED3A8F"/>
    <w:rsid w:val="00ED55C0"/>
    <w:rsid w:val="00ED602C"/>
    <w:rsid w:val="00ED6233"/>
    <w:rsid w:val="00ED7CB9"/>
    <w:rsid w:val="00ED7CDB"/>
    <w:rsid w:val="00EE102A"/>
    <w:rsid w:val="00EE2B55"/>
    <w:rsid w:val="00EE2EE4"/>
    <w:rsid w:val="00EE4A82"/>
    <w:rsid w:val="00EE5CC9"/>
    <w:rsid w:val="00EE7E3B"/>
    <w:rsid w:val="00EF3F42"/>
    <w:rsid w:val="00EF6368"/>
    <w:rsid w:val="00F008FE"/>
    <w:rsid w:val="00F0229E"/>
    <w:rsid w:val="00F0438B"/>
    <w:rsid w:val="00F178FB"/>
    <w:rsid w:val="00F22AD6"/>
    <w:rsid w:val="00F24A2F"/>
    <w:rsid w:val="00F25397"/>
    <w:rsid w:val="00F31D7F"/>
    <w:rsid w:val="00F352C4"/>
    <w:rsid w:val="00F365FA"/>
    <w:rsid w:val="00F37BFF"/>
    <w:rsid w:val="00F41136"/>
    <w:rsid w:val="00F4368F"/>
    <w:rsid w:val="00F46FE8"/>
    <w:rsid w:val="00F4776D"/>
    <w:rsid w:val="00F558D0"/>
    <w:rsid w:val="00F56CA9"/>
    <w:rsid w:val="00F6010A"/>
    <w:rsid w:val="00F62886"/>
    <w:rsid w:val="00F63E8A"/>
    <w:rsid w:val="00F70BAC"/>
    <w:rsid w:val="00F716E2"/>
    <w:rsid w:val="00F73500"/>
    <w:rsid w:val="00F74468"/>
    <w:rsid w:val="00F7447F"/>
    <w:rsid w:val="00F75A48"/>
    <w:rsid w:val="00F761ED"/>
    <w:rsid w:val="00F77C5B"/>
    <w:rsid w:val="00F801E4"/>
    <w:rsid w:val="00F82437"/>
    <w:rsid w:val="00F8437D"/>
    <w:rsid w:val="00F86995"/>
    <w:rsid w:val="00F869C5"/>
    <w:rsid w:val="00F86BBD"/>
    <w:rsid w:val="00F91FE5"/>
    <w:rsid w:val="00F9205A"/>
    <w:rsid w:val="00F936B2"/>
    <w:rsid w:val="00F95210"/>
    <w:rsid w:val="00F956E7"/>
    <w:rsid w:val="00FA5850"/>
    <w:rsid w:val="00FA773F"/>
    <w:rsid w:val="00FB3604"/>
    <w:rsid w:val="00FB4C51"/>
    <w:rsid w:val="00FB6C8C"/>
    <w:rsid w:val="00FB6D8C"/>
    <w:rsid w:val="00FB7A28"/>
    <w:rsid w:val="00FB7B63"/>
    <w:rsid w:val="00FC0C57"/>
    <w:rsid w:val="00FC2662"/>
    <w:rsid w:val="00FC4411"/>
    <w:rsid w:val="00FC682F"/>
    <w:rsid w:val="00FD2C9B"/>
    <w:rsid w:val="00FD62B9"/>
    <w:rsid w:val="00FE1E2C"/>
    <w:rsid w:val="00FE20F2"/>
    <w:rsid w:val="00FE323E"/>
    <w:rsid w:val="00FE34D8"/>
    <w:rsid w:val="00FE53BE"/>
    <w:rsid w:val="00FE7239"/>
    <w:rsid w:val="00FE7FA1"/>
    <w:rsid w:val="00FF42C0"/>
    <w:rsid w:val="00FF712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0E088B"/>
  <w15:chartTrackingRefBased/>
  <w15:docId w15:val="{B0ED51A0-11EB-4C38-8E0D-F16722FF4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 EUCA Trade"/>
    <w:qFormat/>
    <w:rsid w:val="00FB6C8C"/>
    <w:pPr>
      <w:jc w:val="both"/>
    </w:pPr>
    <w:rPr>
      <w:rFonts w:ascii="Avenir Next LT Pro" w:hAnsi="Avenir Next LT Pro"/>
      <w:sz w:val="20"/>
    </w:rPr>
  </w:style>
  <w:style w:type="paragraph" w:styleId="Ttulo1">
    <w:name w:val="heading 1"/>
    <w:aliases w:val="Título 1 - EUCA Trade"/>
    <w:basedOn w:val="Normal"/>
    <w:next w:val="Normal"/>
    <w:link w:val="Ttulo1Car"/>
    <w:uiPriority w:val="9"/>
    <w:qFormat/>
    <w:rsid w:val="003742E0"/>
    <w:pPr>
      <w:keepNext/>
      <w:keepLines/>
      <w:pageBreakBefore/>
      <w:numPr>
        <w:numId w:val="3"/>
      </w:numPr>
      <w:spacing w:before="360" w:after="360"/>
      <w:ind w:left="357" w:hanging="357"/>
      <w:outlineLvl w:val="0"/>
    </w:pPr>
    <w:rPr>
      <w:rFonts w:eastAsiaTheme="majorEastAsia" w:cstheme="majorBidi"/>
      <w:b/>
      <w:color w:val="2F5496" w:themeColor="accent1" w:themeShade="BF"/>
      <w:sz w:val="28"/>
      <w:szCs w:val="28"/>
    </w:rPr>
  </w:style>
  <w:style w:type="paragraph" w:styleId="Ttulo2">
    <w:name w:val="heading 2"/>
    <w:aliases w:val="Título 2 - EUCA Trade"/>
    <w:basedOn w:val="Normal"/>
    <w:next w:val="Normal"/>
    <w:link w:val="Ttulo2Car"/>
    <w:uiPriority w:val="9"/>
    <w:unhideWhenUsed/>
    <w:qFormat/>
    <w:rsid w:val="005E2B99"/>
    <w:pPr>
      <w:keepNext/>
      <w:keepLines/>
      <w:numPr>
        <w:ilvl w:val="1"/>
        <w:numId w:val="3"/>
      </w:numPr>
      <w:spacing w:before="240"/>
      <w:ind w:left="709"/>
      <w:outlineLvl w:val="1"/>
    </w:pPr>
    <w:rPr>
      <w:rFonts w:eastAsiaTheme="majorEastAsia" w:cstheme="majorBidi"/>
      <w:b/>
      <w:bCs/>
      <w:color w:val="2F5496" w:themeColor="accent1" w:themeShade="BF"/>
    </w:rPr>
  </w:style>
  <w:style w:type="paragraph" w:styleId="Ttulo3">
    <w:name w:val="heading 3"/>
    <w:aliases w:val="Título 3 - EUCA Trade"/>
    <w:basedOn w:val="Normal"/>
    <w:link w:val="Ttulo3Car"/>
    <w:uiPriority w:val="9"/>
    <w:qFormat/>
    <w:rsid w:val="001A5CF9"/>
    <w:pPr>
      <w:numPr>
        <w:ilvl w:val="2"/>
        <w:numId w:val="3"/>
      </w:numPr>
      <w:spacing w:before="100" w:beforeAutospacing="1" w:after="100" w:afterAutospacing="1" w:line="240" w:lineRule="auto"/>
      <w:ind w:left="709"/>
      <w:outlineLvl w:val="2"/>
    </w:pPr>
    <w:rPr>
      <w:rFonts w:eastAsia="Times New Roman" w:cstheme="minorHAnsi"/>
      <w:color w:val="4472C4" w:themeColor="accent1"/>
    </w:rPr>
  </w:style>
  <w:style w:type="paragraph" w:styleId="Ttulo4">
    <w:name w:val="heading 4"/>
    <w:aliases w:val="Título 4 - EUCA TRADE"/>
    <w:basedOn w:val="Normal"/>
    <w:next w:val="Normal"/>
    <w:link w:val="Ttulo4Car"/>
    <w:uiPriority w:val="9"/>
    <w:unhideWhenUsed/>
    <w:qFormat/>
    <w:rsid w:val="00FB6C8C"/>
    <w:pPr>
      <w:keepNext/>
      <w:keepLines/>
      <w:spacing w:before="40" w:after="0"/>
      <w:outlineLvl w:val="3"/>
    </w:pPr>
    <w:rPr>
      <w:rFonts w:eastAsiaTheme="majorEastAsia" w:cstheme="majorBidi"/>
      <w:i/>
      <w:iCs/>
      <w:color w:val="2F5496" w:themeColor="accent1" w:themeShade="BF"/>
    </w:rPr>
  </w:style>
  <w:style w:type="paragraph" w:styleId="Ttulo5">
    <w:name w:val="heading 5"/>
    <w:aliases w:val="Título 5 - EUCA Trade"/>
    <w:basedOn w:val="Normal"/>
    <w:next w:val="Normal"/>
    <w:link w:val="Ttulo5Car"/>
    <w:uiPriority w:val="9"/>
    <w:semiHidden/>
    <w:unhideWhenUsed/>
    <w:qFormat/>
    <w:rsid w:val="00FB6C8C"/>
    <w:pPr>
      <w:keepNext/>
      <w:keepLines/>
      <w:spacing w:before="40" w:after="0"/>
      <w:outlineLvl w:val="4"/>
    </w:pPr>
    <w:rPr>
      <w:rFonts w:eastAsiaTheme="majorEastAsia" w:cstheme="majorBidi"/>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a) Lista"/>
    <w:basedOn w:val="Normal"/>
    <w:link w:val="PrrafodelistaCar"/>
    <w:uiPriority w:val="34"/>
    <w:qFormat/>
    <w:rsid w:val="002E3189"/>
    <w:pPr>
      <w:numPr>
        <w:numId w:val="1"/>
      </w:numPr>
      <w:spacing w:after="0" w:line="240" w:lineRule="auto"/>
      <w:contextualSpacing/>
    </w:pPr>
    <w:rPr>
      <w:rFonts w:eastAsia="Times New Roman" w:cs="Times New Roman"/>
      <w:szCs w:val="20"/>
    </w:rPr>
  </w:style>
  <w:style w:type="table" w:styleId="Tablaconcuadrcula">
    <w:name w:val="Table Grid"/>
    <w:basedOn w:val="Tablanormal"/>
    <w:uiPriority w:val="39"/>
    <w:rsid w:val="00F869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5oscura-nfasis1">
    <w:name w:val="Grid Table 5 Dark Accent 1"/>
    <w:basedOn w:val="Tablanormal"/>
    <w:uiPriority w:val="50"/>
    <w:rsid w:val="00B3444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Encabezado">
    <w:name w:val="header"/>
    <w:basedOn w:val="Normal"/>
    <w:link w:val="EncabezadoCar"/>
    <w:uiPriority w:val="99"/>
    <w:unhideWhenUsed/>
    <w:rsid w:val="004F002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F002C"/>
  </w:style>
  <w:style w:type="paragraph" w:styleId="Piedepgina">
    <w:name w:val="footer"/>
    <w:basedOn w:val="Normal"/>
    <w:link w:val="PiedepginaCar"/>
    <w:uiPriority w:val="99"/>
    <w:unhideWhenUsed/>
    <w:rsid w:val="004F002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F002C"/>
  </w:style>
  <w:style w:type="paragraph" w:styleId="Sinespaciado">
    <w:name w:val="No Spacing"/>
    <w:link w:val="SinespaciadoCar"/>
    <w:uiPriority w:val="1"/>
    <w:rsid w:val="004F002C"/>
    <w:pPr>
      <w:spacing w:after="0" w:line="240" w:lineRule="auto"/>
    </w:pPr>
    <w:rPr>
      <w:rFonts w:eastAsiaTheme="minorEastAsia"/>
      <w:lang w:eastAsia="zh-CN"/>
    </w:rPr>
  </w:style>
  <w:style w:type="character" w:customStyle="1" w:styleId="SinespaciadoCar">
    <w:name w:val="Sin espaciado Car"/>
    <w:basedOn w:val="Fuentedeprrafopredeter"/>
    <w:link w:val="Sinespaciado"/>
    <w:uiPriority w:val="1"/>
    <w:rsid w:val="004F002C"/>
    <w:rPr>
      <w:rFonts w:eastAsiaTheme="minorEastAsia"/>
      <w:lang w:eastAsia="zh-CN"/>
    </w:rPr>
  </w:style>
  <w:style w:type="paragraph" w:styleId="Ttulo">
    <w:name w:val="Title"/>
    <w:aliases w:val="Titulo IExecutive sumary - EUCA Trade"/>
    <w:basedOn w:val="Normal"/>
    <w:next w:val="Normal"/>
    <w:link w:val="TtuloCar"/>
    <w:uiPriority w:val="10"/>
    <w:qFormat/>
    <w:rsid w:val="008B29EC"/>
    <w:pPr>
      <w:jc w:val="center"/>
    </w:pPr>
    <w:rPr>
      <w:rFonts w:ascii="Avenir Black" w:hAnsi="Avenir Black"/>
      <w:b/>
      <w:bCs/>
      <w:color w:val="004195"/>
      <w:sz w:val="48"/>
      <w:szCs w:val="48"/>
    </w:rPr>
  </w:style>
  <w:style w:type="character" w:customStyle="1" w:styleId="TtuloCar">
    <w:name w:val="Título Car"/>
    <w:aliases w:val="Titulo IExecutive sumary - EUCA Trade Car"/>
    <w:basedOn w:val="Fuentedeprrafopredeter"/>
    <w:link w:val="Ttulo"/>
    <w:uiPriority w:val="10"/>
    <w:rsid w:val="008B29EC"/>
    <w:rPr>
      <w:rFonts w:ascii="Avenir Black" w:hAnsi="Avenir Black"/>
      <w:b/>
      <w:bCs/>
      <w:color w:val="004195"/>
      <w:sz w:val="48"/>
      <w:szCs w:val="48"/>
    </w:rPr>
  </w:style>
  <w:style w:type="paragraph" w:styleId="Textodeglobo">
    <w:name w:val="Balloon Text"/>
    <w:basedOn w:val="Normal"/>
    <w:link w:val="TextodegloboCar"/>
    <w:uiPriority w:val="99"/>
    <w:semiHidden/>
    <w:unhideWhenUsed/>
    <w:rsid w:val="005747D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747DB"/>
    <w:rPr>
      <w:rFonts w:ascii="Segoe UI" w:hAnsi="Segoe UI" w:cs="Segoe UI"/>
      <w:sz w:val="18"/>
      <w:szCs w:val="18"/>
    </w:rPr>
  </w:style>
  <w:style w:type="character" w:customStyle="1" w:styleId="Ttulo1Car">
    <w:name w:val="Título 1 Car"/>
    <w:aliases w:val="Título 1 - EUCA Trade Car"/>
    <w:basedOn w:val="Fuentedeprrafopredeter"/>
    <w:link w:val="Ttulo1"/>
    <w:uiPriority w:val="9"/>
    <w:rsid w:val="003742E0"/>
    <w:rPr>
      <w:rFonts w:ascii="Avenir Next LT Pro" w:eastAsiaTheme="majorEastAsia" w:hAnsi="Avenir Next LT Pro" w:cstheme="majorBidi"/>
      <w:b/>
      <w:color w:val="2F5496" w:themeColor="accent1" w:themeShade="BF"/>
      <w:sz w:val="28"/>
      <w:szCs w:val="28"/>
    </w:rPr>
  </w:style>
  <w:style w:type="paragraph" w:styleId="Textonotapie">
    <w:name w:val="footnote text"/>
    <w:basedOn w:val="Normal"/>
    <w:link w:val="TextonotapieCar"/>
    <w:uiPriority w:val="99"/>
    <w:unhideWhenUsed/>
    <w:rsid w:val="00556B1B"/>
    <w:pPr>
      <w:spacing w:after="0" w:line="240" w:lineRule="auto"/>
    </w:pPr>
    <w:rPr>
      <w:szCs w:val="20"/>
    </w:rPr>
  </w:style>
  <w:style w:type="character" w:customStyle="1" w:styleId="TextonotapieCar">
    <w:name w:val="Texto nota pie Car"/>
    <w:basedOn w:val="Fuentedeprrafopredeter"/>
    <w:link w:val="Textonotapie"/>
    <w:uiPriority w:val="99"/>
    <w:rsid w:val="00556B1B"/>
    <w:rPr>
      <w:sz w:val="20"/>
      <w:szCs w:val="20"/>
    </w:rPr>
  </w:style>
  <w:style w:type="character" w:styleId="Refdenotaalpie">
    <w:name w:val="footnote reference"/>
    <w:basedOn w:val="Fuentedeprrafopredeter"/>
    <w:uiPriority w:val="99"/>
    <w:semiHidden/>
    <w:unhideWhenUsed/>
    <w:rsid w:val="00556B1B"/>
    <w:rPr>
      <w:vertAlign w:val="superscript"/>
    </w:rPr>
  </w:style>
  <w:style w:type="table" w:styleId="Tabladecuadrcula4-nfasis1">
    <w:name w:val="Grid Table 4 Accent 1"/>
    <w:basedOn w:val="Tablanormal"/>
    <w:uiPriority w:val="49"/>
    <w:rsid w:val="0088129C"/>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Refdecomentario">
    <w:name w:val="annotation reference"/>
    <w:basedOn w:val="Fuentedeprrafopredeter"/>
    <w:uiPriority w:val="99"/>
    <w:semiHidden/>
    <w:unhideWhenUsed/>
    <w:rsid w:val="00694911"/>
    <w:rPr>
      <w:sz w:val="16"/>
      <w:szCs w:val="16"/>
    </w:rPr>
  </w:style>
  <w:style w:type="paragraph" w:styleId="Textocomentario">
    <w:name w:val="annotation text"/>
    <w:basedOn w:val="Normal"/>
    <w:link w:val="TextocomentarioCar"/>
    <w:uiPriority w:val="99"/>
    <w:unhideWhenUsed/>
    <w:rsid w:val="00694911"/>
    <w:pPr>
      <w:spacing w:line="240" w:lineRule="auto"/>
    </w:pPr>
    <w:rPr>
      <w:szCs w:val="20"/>
    </w:rPr>
  </w:style>
  <w:style w:type="character" w:customStyle="1" w:styleId="TextocomentarioCar">
    <w:name w:val="Texto comentario Car"/>
    <w:basedOn w:val="Fuentedeprrafopredeter"/>
    <w:link w:val="Textocomentario"/>
    <w:uiPriority w:val="99"/>
    <w:rsid w:val="00694911"/>
    <w:rPr>
      <w:sz w:val="20"/>
      <w:szCs w:val="20"/>
    </w:rPr>
  </w:style>
  <w:style w:type="paragraph" w:styleId="Asuntodelcomentario">
    <w:name w:val="annotation subject"/>
    <w:basedOn w:val="Textocomentario"/>
    <w:next w:val="Textocomentario"/>
    <w:link w:val="AsuntodelcomentarioCar"/>
    <w:uiPriority w:val="99"/>
    <w:semiHidden/>
    <w:unhideWhenUsed/>
    <w:rsid w:val="00694911"/>
    <w:rPr>
      <w:b/>
      <w:bCs/>
    </w:rPr>
  </w:style>
  <w:style w:type="character" w:customStyle="1" w:styleId="AsuntodelcomentarioCar">
    <w:name w:val="Asunto del comentario Car"/>
    <w:basedOn w:val="TextocomentarioCar"/>
    <w:link w:val="Asuntodelcomentario"/>
    <w:uiPriority w:val="99"/>
    <w:semiHidden/>
    <w:rsid w:val="00694911"/>
    <w:rPr>
      <w:b/>
      <w:bCs/>
      <w:sz w:val="20"/>
      <w:szCs w:val="20"/>
    </w:rPr>
  </w:style>
  <w:style w:type="paragraph" w:styleId="Revisin">
    <w:name w:val="Revision"/>
    <w:hidden/>
    <w:uiPriority w:val="99"/>
    <w:semiHidden/>
    <w:rsid w:val="007919F9"/>
    <w:pPr>
      <w:spacing w:after="0" w:line="240" w:lineRule="auto"/>
    </w:pPr>
  </w:style>
  <w:style w:type="character" w:customStyle="1" w:styleId="PrrafodelistaCar">
    <w:name w:val="Párrafo de lista Car"/>
    <w:aliases w:val="a) Lista Car"/>
    <w:link w:val="Prrafodelista"/>
    <w:uiPriority w:val="34"/>
    <w:qFormat/>
    <w:rsid w:val="002E3189"/>
    <w:rPr>
      <w:rFonts w:ascii="Avenir Next LT Pro" w:eastAsia="Times New Roman" w:hAnsi="Avenir Next LT Pro" w:cs="Times New Roman"/>
      <w:sz w:val="20"/>
      <w:szCs w:val="20"/>
    </w:rPr>
  </w:style>
  <w:style w:type="paragraph" w:styleId="Textoindependiente">
    <w:name w:val="Body Text"/>
    <w:basedOn w:val="Normal"/>
    <w:link w:val="TextoindependienteCar"/>
    <w:uiPriority w:val="1"/>
    <w:rsid w:val="000C60E9"/>
    <w:pPr>
      <w:spacing w:after="0" w:line="240" w:lineRule="auto"/>
    </w:pPr>
    <w:rPr>
      <w:rFonts w:ascii="Times New Roman" w:eastAsia="Times New Roman" w:hAnsi="Times New Roman" w:cs="Times New Roman"/>
      <w:szCs w:val="20"/>
      <w:lang w:eastAsia="es-ES_tradnl"/>
    </w:rPr>
  </w:style>
  <w:style w:type="character" w:customStyle="1" w:styleId="TextoindependienteCar">
    <w:name w:val="Texto independiente Car"/>
    <w:basedOn w:val="Fuentedeprrafopredeter"/>
    <w:link w:val="Textoindependiente"/>
    <w:uiPriority w:val="1"/>
    <w:rsid w:val="000C60E9"/>
    <w:rPr>
      <w:rFonts w:ascii="Times New Roman" w:eastAsia="Times New Roman" w:hAnsi="Times New Roman" w:cs="Times New Roman"/>
      <w:sz w:val="20"/>
      <w:szCs w:val="20"/>
      <w:lang w:eastAsia="es-ES_tradnl"/>
    </w:rPr>
  </w:style>
  <w:style w:type="paragraph" w:styleId="NormalWeb">
    <w:name w:val="Normal (Web)"/>
    <w:basedOn w:val="Normal"/>
    <w:link w:val="NormalWebCar"/>
    <w:uiPriority w:val="99"/>
    <w:unhideWhenUsed/>
    <w:rsid w:val="000C60E9"/>
    <w:pPr>
      <w:spacing w:before="100" w:beforeAutospacing="1" w:after="100" w:afterAutospacing="1" w:line="240" w:lineRule="auto"/>
    </w:pPr>
    <w:rPr>
      <w:rFonts w:ascii="Times New Roman" w:eastAsia="Times New Roman" w:hAnsi="Times New Roman" w:cs="Times New Roman"/>
      <w:sz w:val="24"/>
      <w:szCs w:val="24"/>
      <w:lang w:eastAsia="es-ES_tradnl"/>
    </w:rPr>
  </w:style>
  <w:style w:type="paragraph" w:customStyle="1" w:styleId="garamondingles">
    <w:name w:val="garamond ingles"/>
    <w:basedOn w:val="Normal"/>
    <w:rsid w:val="000C60E9"/>
    <w:pPr>
      <w:spacing w:beforeLines="40" w:after="0" w:line="320" w:lineRule="exact"/>
    </w:pPr>
    <w:rPr>
      <w:rFonts w:ascii="Garamond" w:eastAsia="Calibri" w:hAnsi="Garamond" w:cs="Garamond"/>
      <w:color w:val="000000" w:themeColor="text1"/>
      <w:szCs w:val="24"/>
      <w:lang w:eastAsia="es-ES"/>
    </w:rPr>
  </w:style>
  <w:style w:type="character" w:customStyle="1" w:styleId="NormalWebCar">
    <w:name w:val="Normal (Web) Car"/>
    <w:basedOn w:val="Fuentedeprrafopredeter"/>
    <w:link w:val="NormalWeb"/>
    <w:uiPriority w:val="99"/>
    <w:locked/>
    <w:rsid w:val="000C60E9"/>
    <w:rPr>
      <w:rFonts w:ascii="Times New Roman" w:eastAsia="Times New Roman" w:hAnsi="Times New Roman" w:cs="Times New Roman"/>
      <w:sz w:val="24"/>
      <w:szCs w:val="24"/>
      <w:lang w:eastAsia="es-ES_tradnl"/>
    </w:rPr>
  </w:style>
  <w:style w:type="paragraph" w:styleId="TtuloTDC">
    <w:name w:val="TOC Heading"/>
    <w:aliases w:val="Título TDC - EUCA Trade"/>
    <w:basedOn w:val="Ttulo1"/>
    <w:next w:val="Normal"/>
    <w:uiPriority w:val="39"/>
    <w:unhideWhenUsed/>
    <w:qFormat/>
    <w:rsid w:val="000E3549"/>
    <w:pPr>
      <w:numPr>
        <w:numId w:val="0"/>
      </w:numPr>
      <w:outlineLvl w:val="9"/>
    </w:pPr>
  </w:style>
  <w:style w:type="paragraph" w:styleId="TDC1">
    <w:name w:val="toc 1"/>
    <w:basedOn w:val="Normal"/>
    <w:next w:val="Normal"/>
    <w:autoRedefine/>
    <w:uiPriority w:val="39"/>
    <w:unhideWhenUsed/>
    <w:rsid w:val="00DB6C75"/>
    <w:pPr>
      <w:tabs>
        <w:tab w:val="left" w:pos="440"/>
        <w:tab w:val="right" w:leader="dot" w:pos="9065"/>
      </w:tabs>
      <w:spacing w:after="0"/>
    </w:pPr>
  </w:style>
  <w:style w:type="character" w:styleId="Hipervnculo">
    <w:name w:val="Hyperlink"/>
    <w:basedOn w:val="Fuentedeprrafopredeter"/>
    <w:uiPriority w:val="99"/>
    <w:unhideWhenUsed/>
    <w:rsid w:val="00335DC4"/>
    <w:rPr>
      <w:color w:val="0563C1" w:themeColor="hyperlink"/>
      <w:u w:val="single"/>
    </w:rPr>
  </w:style>
  <w:style w:type="character" w:customStyle="1" w:styleId="UnresolvedMention1">
    <w:name w:val="Unresolved Mention1"/>
    <w:basedOn w:val="Fuentedeprrafopredeter"/>
    <w:uiPriority w:val="99"/>
    <w:semiHidden/>
    <w:unhideWhenUsed/>
    <w:rsid w:val="0081006C"/>
    <w:rPr>
      <w:color w:val="605E5C"/>
      <w:shd w:val="clear" w:color="auto" w:fill="E1DFDD"/>
    </w:rPr>
  </w:style>
  <w:style w:type="table" w:styleId="Tabladelista4-nfasis5">
    <w:name w:val="List Table 4 Accent 5"/>
    <w:basedOn w:val="Tablanormal"/>
    <w:uiPriority w:val="49"/>
    <w:rsid w:val="00BF7068"/>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Normal1">
    <w:name w:val="Table Normal1"/>
    <w:uiPriority w:val="2"/>
    <w:semiHidden/>
    <w:unhideWhenUsed/>
    <w:qFormat/>
    <w:rsid w:val="00F7447F"/>
    <w:pPr>
      <w:widowControl w:val="0"/>
      <w:autoSpaceDE w:val="0"/>
      <w:autoSpaceDN w:val="0"/>
      <w:spacing w:after="0" w:line="240" w:lineRule="auto"/>
    </w:pPr>
    <w:tblPr>
      <w:tblInd w:w="0" w:type="dxa"/>
      <w:tblCellMar>
        <w:top w:w="0" w:type="dxa"/>
        <w:left w:w="0" w:type="dxa"/>
        <w:bottom w:w="0" w:type="dxa"/>
        <w:right w:w="0" w:type="dxa"/>
      </w:tblCellMar>
    </w:tblPr>
  </w:style>
  <w:style w:type="paragraph" w:customStyle="1" w:styleId="TableParagraph-EUCATrade">
    <w:name w:val="Table Paragraph - EUCA Trade"/>
    <w:basedOn w:val="Normal"/>
    <w:uiPriority w:val="1"/>
    <w:qFormat/>
    <w:rsid w:val="00136CB4"/>
    <w:pPr>
      <w:spacing w:after="0" w:line="240" w:lineRule="auto"/>
    </w:pPr>
    <w:rPr>
      <w:sz w:val="18"/>
      <w:szCs w:val="18"/>
      <w:lang w:eastAsia="es-ES_tradnl"/>
    </w:rPr>
  </w:style>
  <w:style w:type="character" w:customStyle="1" w:styleId="Ttulo2Car">
    <w:name w:val="Título 2 Car"/>
    <w:aliases w:val="Título 2 - EUCA Trade Car"/>
    <w:basedOn w:val="Fuentedeprrafopredeter"/>
    <w:link w:val="Ttulo2"/>
    <w:uiPriority w:val="9"/>
    <w:rsid w:val="005E2B99"/>
    <w:rPr>
      <w:rFonts w:ascii="Avenir Next LT Pro" w:eastAsiaTheme="majorEastAsia" w:hAnsi="Avenir Next LT Pro" w:cstheme="majorBidi"/>
      <w:b/>
      <w:bCs/>
      <w:color w:val="2F5496" w:themeColor="accent1" w:themeShade="BF"/>
      <w:sz w:val="20"/>
    </w:rPr>
  </w:style>
  <w:style w:type="paragraph" w:styleId="TDC2">
    <w:name w:val="toc 2"/>
    <w:basedOn w:val="Normal"/>
    <w:next w:val="Normal"/>
    <w:autoRedefine/>
    <w:uiPriority w:val="39"/>
    <w:unhideWhenUsed/>
    <w:rsid w:val="00DB6C75"/>
    <w:pPr>
      <w:tabs>
        <w:tab w:val="left" w:pos="880"/>
        <w:tab w:val="right" w:leader="dot" w:pos="8498"/>
      </w:tabs>
      <w:spacing w:after="0"/>
      <w:ind w:left="220"/>
    </w:pPr>
  </w:style>
  <w:style w:type="character" w:customStyle="1" w:styleId="UnresolvedMention2">
    <w:name w:val="Unresolved Mention2"/>
    <w:basedOn w:val="Fuentedeprrafopredeter"/>
    <w:uiPriority w:val="99"/>
    <w:semiHidden/>
    <w:unhideWhenUsed/>
    <w:rsid w:val="00DD2239"/>
    <w:rPr>
      <w:color w:val="605E5C"/>
      <w:shd w:val="clear" w:color="auto" w:fill="E1DFDD"/>
    </w:rPr>
  </w:style>
  <w:style w:type="character" w:styleId="Hipervnculovisitado">
    <w:name w:val="FollowedHyperlink"/>
    <w:basedOn w:val="Fuentedeprrafopredeter"/>
    <w:uiPriority w:val="99"/>
    <w:semiHidden/>
    <w:unhideWhenUsed/>
    <w:rsid w:val="000F522B"/>
    <w:rPr>
      <w:color w:val="954F72" w:themeColor="followedHyperlink"/>
      <w:u w:val="single"/>
    </w:rPr>
  </w:style>
  <w:style w:type="character" w:styleId="nfasis">
    <w:name w:val="Emphasis"/>
    <w:aliases w:val="Énfasis- EUCA TRADE"/>
    <w:basedOn w:val="Fuentedeprrafopredeter"/>
    <w:uiPriority w:val="20"/>
    <w:qFormat/>
    <w:rsid w:val="00FB6C8C"/>
    <w:rPr>
      <w:rFonts w:ascii="Avenir Next LT Pro" w:hAnsi="Avenir Next LT Pro"/>
      <w:i/>
      <w:iCs/>
      <w:sz w:val="20"/>
    </w:rPr>
  </w:style>
  <w:style w:type="character" w:customStyle="1" w:styleId="ts-alignment-element">
    <w:name w:val="ts-alignment-element"/>
    <w:basedOn w:val="Fuentedeprrafopredeter"/>
    <w:rsid w:val="002B722B"/>
  </w:style>
  <w:style w:type="character" w:customStyle="1" w:styleId="ts-alignment-element-highlighted">
    <w:name w:val="ts-alignment-element-highlighted"/>
    <w:basedOn w:val="Fuentedeprrafopredeter"/>
    <w:rsid w:val="002B722B"/>
  </w:style>
  <w:style w:type="character" w:customStyle="1" w:styleId="UnresolvedMention">
    <w:name w:val="Unresolved Mention"/>
    <w:basedOn w:val="Fuentedeprrafopredeter"/>
    <w:uiPriority w:val="99"/>
    <w:semiHidden/>
    <w:unhideWhenUsed/>
    <w:rsid w:val="002B722B"/>
    <w:rPr>
      <w:color w:val="605E5C"/>
      <w:shd w:val="clear" w:color="auto" w:fill="E1DFDD"/>
    </w:rPr>
  </w:style>
  <w:style w:type="character" w:styleId="Textoennegrita">
    <w:name w:val="Strong"/>
    <w:aliases w:val="Texto en negrita- EUCA Trade"/>
    <w:basedOn w:val="Fuentedeprrafopredeter"/>
    <w:uiPriority w:val="22"/>
    <w:qFormat/>
    <w:rsid w:val="00FB6C8C"/>
    <w:rPr>
      <w:rFonts w:ascii="Avenir Next LT Pro" w:hAnsi="Avenir Next LT Pro"/>
      <w:b/>
      <w:bCs/>
    </w:rPr>
  </w:style>
  <w:style w:type="paragraph" w:customStyle="1" w:styleId="fecha">
    <w:name w:val="fecha"/>
    <w:basedOn w:val="Normal"/>
    <w:rsid w:val="002B722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ject">
    <w:name w:val="subject"/>
    <w:basedOn w:val="Normal"/>
    <w:rsid w:val="002B722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scription">
    <w:name w:val="description"/>
    <w:basedOn w:val="Normal"/>
    <w:rsid w:val="002B722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Normal"/>
    <w:rsid w:val="002B72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3Car">
    <w:name w:val="Título 3 Car"/>
    <w:aliases w:val="Título 3 - EUCA Trade Car"/>
    <w:basedOn w:val="Fuentedeprrafopredeter"/>
    <w:link w:val="Ttulo3"/>
    <w:uiPriority w:val="9"/>
    <w:rsid w:val="001A5CF9"/>
    <w:rPr>
      <w:rFonts w:ascii="Avenir Next LT Pro" w:eastAsia="Times New Roman" w:hAnsi="Avenir Next LT Pro" w:cstheme="minorHAnsi"/>
      <w:color w:val="4472C4" w:themeColor="accent1"/>
      <w:sz w:val="20"/>
    </w:rPr>
  </w:style>
  <w:style w:type="character" w:customStyle="1" w:styleId="Ttulo4Car">
    <w:name w:val="Título 4 Car"/>
    <w:aliases w:val="Título 4 - EUCA TRADE Car"/>
    <w:basedOn w:val="Fuentedeprrafopredeter"/>
    <w:link w:val="Ttulo4"/>
    <w:uiPriority w:val="9"/>
    <w:rsid w:val="00FB6C8C"/>
    <w:rPr>
      <w:rFonts w:ascii="Avenir Next LT Pro" w:eastAsiaTheme="majorEastAsia" w:hAnsi="Avenir Next LT Pro" w:cstheme="majorBidi"/>
      <w:i/>
      <w:iCs/>
      <w:color w:val="2F5496" w:themeColor="accent1" w:themeShade="BF"/>
      <w:sz w:val="20"/>
    </w:rPr>
  </w:style>
  <w:style w:type="character" w:customStyle="1" w:styleId="qowt-font6-cambria">
    <w:name w:val="qowt-font6-cambria"/>
    <w:basedOn w:val="Fuentedeprrafopredeter"/>
    <w:rsid w:val="008B606E"/>
  </w:style>
  <w:style w:type="paragraph" w:customStyle="1" w:styleId="defaultparagraph-1">
    <w:name w:val="defaultparagraph-1"/>
    <w:basedOn w:val="Normal"/>
    <w:rsid w:val="000E69D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exposedshow">
    <w:name w:val="text_exposed_show"/>
    <w:basedOn w:val="Fuentedeprrafopredeter"/>
    <w:rsid w:val="00653AB1"/>
  </w:style>
  <w:style w:type="character" w:customStyle="1" w:styleId="eop">
    <w:name w:val="eop"/>
    <w:basedOn w:val="Fuentedeprrafopredeter"/>
    <w:rsid w:val="00653AB1"/>
  </w:style>
  <w:style w:type="paragraph" w:styleId="TDC3">
    <w:name w:val="toc 3"/>
    <w:basedOn w:val="Normal"/>
    <w:next w:val="Normal"/>
    <w:autoRedefine/>
    <w:uiPriority w:val="39"/>
    <w:unhideWhenUsed/>
    <w:rsid w:val="00E54178"/>
    <w:pPr>
      <w:spacing w:after="100"/>
      <w:ind w:left="440"/>
    </w:pPr>
  </w:style>
  <w:style w:type="character" w:styleId="Textodelmarcadordeposicin">
    <w:name w:val="Placeholder Text"/>
    <w:basedOn w:val="Fuentedeprrafopredeter"/>
    <w:uiPriority w:val="99"/>
    <w:semiHidden/>
    <w:rsid w:val="008B29EC"/>
    <w:rPr>
      <w:color w:val="808080"/>
    </w:rPr>
  </w:style>
  <w:style w:type="paragraph" w:customStyle="1" w:styleId="FootnoteEUCATrade">
    <w:name w:val="Footnote EUCA Trade"/>
    <w:basedOn w:val="Textonotapie"/>
    <w:link w:val="FootnoteEUCATradeCar"/>
    <w:qFormat/>
    <w:rsid w:val="003C2D17"/>
    <w:rPr>
      <w:sz w:val="16"/>
      <w:szCs w:val="16"/>
    </w:rPr>
  </w:style>
  <w:style w:type="paragraph" w:customStyle="1" w:styleId="-Guintraslistaa-EUCATrade">
    <w:name w:val="- Guión tras lista a) - EUCA Trade"/>
    <w:basedOn w:val="Prrafodelista"/>
    <w:link w:val="-Guintraslistaa-EUCATradeCar"/>
    <w:qFormat/>
    <w:rsid w:val="002E3189"/>
    <w:pPr>
      <w:numPr>
        <w:numId w:val="2"/>
      </w:numPr>
    </w:pPr>
  </w:style>
  <w:style w:type="character" w:customStyle="1" w:styleId="FootnoteEUCATradeCar">
    <w:name w:val="Footnote EUCA Trade Car"/>
    <w:basedOn w:val="TextonotapieCar"/>
    <w:link w:val="FootnoteEUCATrade"/>
    <w:rsid w:val="003C2D17"/>
    <w:rPr>
      <w:rFonts w:ascii="Avenir Next LT Pro" w:hAnsi="Avenir Next LT Pro"/>
      <w:sz w:val="16"/>
      <w:szCs w:val="16"/>
    </w:rPr>
  </w:style>
  <w:style w:type="paragraph" w:customStyle="1" w:styleId="Source-EUCATrade">
    <w:name w:val="Source - EUCA Trade"/>
    <w:basedOn w:val="Normal"/>
    <w:link w:val="Source-EUCATradeCar"/>
    <w:qFormat/>
    <w:rsid w:val="00945D9F"/>
    <w:pPr>
      <w:spacing w:before="60" w:line="240" w:lineRule="auto"/>
    </w:pPr>
    <w:rPr>
      <w:i/>
      <w:iCs/>
      <w:sz w:val="18"/>
      <w:szCs w:val="18"/>
    </w:rPr>
  </w:style>
  <w:style w:type="character" w:customStyle="1" w:styleId="-Guintraslistaa-EUCATradeCar">
    <w:name w:val="- Guión tras lista a) - EUCA Trade Car"/>
    <w:basedOn w:val="PrrafodelistaCar"/>
    <w:link w:val="-Guintraslistaa-EUCATrade"/>
    <w:rsid w:val="002E3189"/>
    <w:rPr>
      <w:rFonts w:ascii="Avenir Next LT Pro" w:eastAsia="Times New Roman" w:hAnsi="Avenir Next LT Pro" w:cs="Times New Roman"/>
      <w:sz w:val="20"/>
      <w:szCs w:val="20"/>
    </w:rPr>
  </w:style>
  <w:style w:type="character" w:styleId="Referenciasutil">
    <w:name w:val="Subtle Reference"/>
    <w:aliases w:val="Referencia TABLE - EUCA Trade"/>
    <w:uiPriority w:val="31"/>
    <w:qFormat/>
    <w:rsid w:val="002E3189"/>
    <w:rPr>
      <w:rFonts w:ascii="Avenir Next LT Pro" w:hAnsi="Avenir Next LT Pro"/>
      <w:sz w:val="20"/>
      <w:szCs w:val="20"/>
      <w:lang w:eastAsia="es-ES_tradnl"/>
    </w:rPr>
  </w:style>
  <w:style w:type="character" w:customStyle="1" w:styleId="Source-EUCATradeCar">
    <w:name w:val="Source - EUCA Trade Car"/>
    <w:basedOn w:val="Fuentedeprrafopredeter"/>
    <w:link w:val="Source-EUCATrade"/>
    <w:rsid w:val="00945D9F"/>
    <w:rPr>
      <w:rFonts w:ascii="Avenir Next LT Pro" w:hAnsi="Avenir Next LT Pro"/>
      <w:i/>
      <w:iCs/>
      <w:sz w:val="18"/>
      <w:szCs w:val="18"/>
    </w:rPr>
  </w:style>
  <w:style w:type="paragraph" w:styleId="Descripcin">
    <w:name w:val="caption"/>
    <w:aliases w:val="Descripción- EUCA Trade"/>
    <w:basedOn w:val="Normal"/>
    <w:next w:val="Normal"/>
    <w:uiPriority w:val="35"/>
    <w:unhideWhenUsed/>
    <w:qFormat/>
    <w:rsid w:val="00945D9F"/>
    <w:pPr>
      <w:tabs>
        <w:tab w:val="left" w:pos="7200"/>
      </w:tabs>
      <w:spacing w:after="120" w:line="240" w:lineRule="auto"/>
    </w:pPr>
    <w:rPr>
      <w:sz w:val="18"/>
    </w:rPr>
  </w:style>
  <w:style w:type="paragraph" w:customStyle="1" w:styleId="TtuloTABLA-EUCATrade">
    <w:name w:val="Título TABLA - EUCA Trade"/>
    <w:basedOn w:val="Normal"/>
    <w:link w:val="TtuloTABLA-EUCATradeCar"/>
    <w:qFormat/>
    <w:rsid w:val="00136CB4"/>
    <w:pPr>
      <w:shd w:val="clear" w:color="auto" w:fill="4472C4" w:themeFill="accent1"/>
      <w:spacing w:before="60" w:after="60" w:line="240" w:lineRule="auto"/>
      <w:jc w:val="center"/>
    </w:pPr>
    <w:rPr>
      <w:color w:val="FFFFFF" w:themeColor="background1"/>
      <w:sz w:val="18"/>
      <w:szCs w:val="18"/>
      <w:lang w:eastAsia="es-ES_tradnl"/>
    </w:rPr>
  </w:style>
  <w:style w:type="character" w:customStyle="1" w:styleId="TtuloTABLA-EUCATradeCar">
    <w:name w:val="Título TABLA - EUCA Trade Car"/>
    <w:basedOn w:val="Fuentedeprrafopredeter"/>
    <w:link w:val="TtuloTABLA-EUCATrade"/>
    <w:rsid w:val="00136CB4"/>
    <w:rPr>
      <w:rFonts w:ascii="Avenir Next LT Pro" w:hAnsi="Avenir Next LT Pro"/>
      <w:color w:val="FFFFFF" w:themeColor="background1"/>
      <w:sz w:val="18"/>
      <w:szCs w:val="18"/>
      <w:shd w:val="clear" w:color="auto" w:fill="4472C4" w:themeFill="accent1"/>
      <w:lang w:eastAsia="es-ES_tradnl"/>
    </w:rPr>
  </w:style>
  <w:style w:type="paragraph" w:styleId="TDC9">
    <w:name w:val="toc 9"/>
    <w:basedOn w:val="Normal"/>
    <w:next w:val="Normal"/>
    <w:autoRedefine/>
    <w:uiPriority w:val="39"/>
    <w:semiHidden/>
    <w:unhideWhenUsed/>
    <w:rsid w:val="007A1FA0"/>
    <w:pPr>
      <w:spacing w:after="100"/>
      <w:ind w:left="1760"/>
    </w:pPr>
  </w:style>
  <w:style w:type="character" w:customStyle="1" w:styleId="Ttulo5Car">
    <w:name w:val="Título 5 Car"/>
    <w:aliases w:val="Título 5 - EUCA Trade Car"/>
    <w:basedOn w:val="Fuentedeprrafopredeter"/>
    <w:link w:val="Ttulo5"/>
    <w:uiPriority w:val="9"/>
    <w:semiHidden/>
    <w:rsid w:val="00FB6C8C"/>
    <w:rPr>
      <w:rFonts w:ascii="Avenir Next LT Pro" w:eastAsiaTheme="majorEastAsia" w:hAnsi="Avenir Next LT Pro" w:cstheme="majorBidi"/>
      <w:color w:val="2F5496" w:themeColor="accent1" w:themeShade="BF"/>
      <w:sz w:val="20"/>
    </w:rPr>
  </w:style>
  <w:style w:type="character" w:styleId="nfasissutil">
    <w:name w:val="Subtle Emphasis"/>
    <w:aliases w:val="Énfasis sutil - EUCA Trade"/>
    <w:basedOn w:val="Fuentedeprrafopredeter"/>
    <w:uiPriority w:val="19"/>
    <w:qFormat/>
    <w:rsid w:val="00FB6C8C"/>
    <w:rPr>
      <w:rFonts w:ascii="Avenir Next LT Pro" w:hAnsi="Avenir Next LT Pro"/>
      <w:i/>
      <w:iCs/>
      <w:color w:val="404040" w:themeColor="text1" w:themeTint="BF"/>
      <w:sz w:val="20"/>
    </w:rPr>
  </w:style>
  <w:style w:type="character" w:styleId="nfasisintenso">
    <w:name w:val="Intense Emphasis"/>
    <w:aliases w:val="Énfasis intenso- EUCA TRADE"/>
    <w:basedOn w:val="Fuentedeprrafopredeter"/>
    <w:uiPriority w:val="21"/>
    <w:qFormat/>
    <w:rsid w:val="00FB6C8C"/>
    <w:rPr>
      <w:rFonts w:ascii="Avenir Next LT Pro" w:hAnsi="Avenir Next LT Pro"/>
      <w:i/>
      <w:iCs/>
      <w:color w:val="4472C4" w:themeColor="accent1"/>
    </w:rPr>
  </w:style>
  <w:style w:type="paragraph" w:styleId="Cita">
    <w:name w:val="Quote"/>
    <w:aliases w:val="Cita- EUCA Trade"/>
    <w:basedOn w:val="Normal"/>
    <w:next w:val="Normal"/>
    <w:link w:val="CitaCar"/>
    <w:uiPriority w:val="29"/>
    <w:qFormat/>
    <w:rsid w:val="00FB6C8C"/>
    <w:pPr>
      <w:spacing w:before="200"/>
      <w:ind w:left="864" w:right="864"/>
      <w:jc w:val="center"/>
    </w:pPr>
    <w:rPr>
      <w:i/>
      <w:iCs/>
      <w:color w:val="404040" w:themeColor="text1" w:themeTint="BF"/>
    </w:rPr>
  </w:style>
  <w:style w:type="character" w:customStyle="1" w:styleId="CitaCar">
    <w:name w:val="Cita Car"/>
    <w:aliases w:val="Cita- EUCA Trade Car"/>
    <w:basedOn w:val="Fuentedeprrafopredeter"/>
    <w:link w:val="Cita"/>
    <w:uiPriority w:val="29"/>
    <w:rsid w:val="00FB6C8C"/>
    <w:rPr>
      <w:rFonts w:ascii="Avenir Next LT Pro" w:hAnsi="Avenir Next LT Pro"/>
      <w:i/>
      <w:iCs/>
      <w:color w:val="404040" w:themeColor="text1" w:themeTint="BF"/>
      <w:sz w:val="20"/>
    </w:rPr>
  </w:style>
  <w:style w:type="paragraph" w:styleId="Citadestacada">
    <w:name w:val="Intense Quote"/>
    <w:aliases w:val="Cita destacada- EUCA TRADE"/>
    <w:basedOn w:val="Normal"/>
    <w:next w:val="Normal"/>
    <w:link w:val="CitadestacadaCar"/>
    <w:uiPriority w:val="30"/>
    <w:qFormat/>
    <w:rsid w:val="00FB6C8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destacadaCar">
    <w:name w:val="Cita destacada Car"/>
    <w:aliases w:val="Cita destacada- EUCA TRADE Car"/>
    <w:basedOn w:val="Fuentedeprrafopredeter"/>
    <w:link w:val="Citadestacada"/>
    <w:uiPriority w:val="30"/>
    <w:rsid w:val="00FB6C8C"/>
    <w:rPr>
      <w:rFonts w:ascii="Avenir Next LT Pro" w:hAnsi="Avenir Next LT Pro"/>
      <w:i/>
      <w:iCs/>
      <w:color w:val="4472C4" w:themeColor="accent1"/>
    </w:rPr>
  </w:style>
  <w:style w:type="character" w:styleId="Referenciaintensa">
    <w:name w:val="Intense Reference"/>
    <w:aliases w:val="Referencia intensa - EUCA Trade"/>
    <w:basedOn w:val="Fuentedeprrafopredeter"/>
    <w:uiPriority w:val="32"/>
    <w:qFormat/>
    <w:rsid w:val="00FB6C8C"/>
    <w:rPr>
      <w:rFonts w:ascii="Avenir Next LT Pro" w:hAnsi="Avenir Next LT Pro"/>
      <w:b/>
      <w:bCs/>
      <w:smallCaps/>
      <w:color w:val="4472C4" w:themeColor="accent1"/>
      <w:spacing w:val="5"/>
    </w:rPr>
  </w:style>
  <w:style w:type="character" w:styleId="Ttulodellibro">
    <w:name w:val="Book Title"/>
    <w:aliases w:val="Título del libro - EUCA Trade"/>
    <w:basedOn w:val="Fuentedeprrafopredeter"/>
    <w:uiPriority w:val="33"/>
    <w:qFormat/>
    <w:rsid w:val="00FB6C8C"/>
    <w:rPr>
      <w:rFonts w:ascii="Avenir Next LT Pro" w:hAnsi="Avenir Next LT Pro"/>
      <w:b/>
      <w:bCs/>
      <w:i/>
      <w:iCs/>
      <w:spacing w:val="5"/>
    </w:rPr>
  </w:style>
  <w:style w:type="table" w:customStyle="1" w:styleId="Tablaconcuadrcula1">
    <w:name w:val="Tabla con cuadrícula1"/>
    <w:basedOn w:val="Tablanormal"/>
    <w:next w:val="Tablaconcuadrcula"/>
    <w:uiPriority w:val="39"/>
    <w:rsid w:val="002468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315E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conformatoprevio">
    <w:name w:val="HTML Preformatted"/>
    <w:basedOn w:val="Normal"/>
    <w:link w:val="HTMLconformatoprevioCar"/>
    <w:uiPriority w:val="99"/>
    <w:unhideWhenUsed/>
    <w:rsid w:val="00315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Cs w:val="20"/>
      <w:lang w:val="es-CO" w:eastAsia="es-MX"/>
    </w:rPr>
  </w:style>
  <w:style w:type="character" w:customStyle="1" w:styleId="HTMLconformatoprevioCar">
    <w:name w:val="HTML con formato previo Car"/>
    <w:basedOn w:val="Fuentedeprrafopredeter"/>
    <w:link w:val="HTMLconformatoprevio"/>
    <w:uiPriority w:val="99"/>
    <w:rsid w:val="00315ECA"/>
    <w:rPr>
      <w:rFonts w:ascii="Courier New" w:eastAsia="Times New Roman" w:hAnsi="Courier New" w:cs="Courier New"/>
      <w:sz w:val="20"/>
      <w:szCs w:val="20"/>
      <w:lang w:val="es-CO" w:eastAsia="es-MX"/>
    </w:rPr>
  </w:style>
  <w:style w:type="numbering" w:customStyle="1" w:styleId="Sinlista1">
    <w:name w:val="Sin lista1"/>
    <w:next w:val="Sinlista"/>
    <w:uiPriority w:val="99"/>
    <w:semiHidden/>
    <w:unhideWhenUsed/>
    <w:rsid w:val="00571A9C"/>
  </w:style>
  <w:style w:type="table" w:customStyle="1" w:styleId="Tablaconcuadrcula3">
    <w:name w:val="Tabla con cuadrícula3"/>
    <w:basedOn w:val="Tablanormal"/>
    <w:next w:val="Tablaconcuadrcula"/>
    <w:uiPriority w:val="39"/>
    <w:rsid w:val="00571A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oscura-nfasis11">
    <w:name w:val="Tabla con cuadrícula 5 oscura - Énfasis 11"/>
    <w:basedOn w:val="Tablanormal"/>
    <w:next w:val="Tabladecuadrcula5oscura-nfasis1"/>
    <w:uiPriority w:val="50"/>
    <w:rsid w:val="00571A9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Tablaconcuadrcula4-nfasis11">
    <w:name w:val="Tabla con cuadrícula 4 - Énfasis 11"/>
    <w:basedOn w:val="Tablanormal"/>
    <w:next w:val="Tabladecuadrcula4-nfasis1"/>
    <w:uiPriority w:val="49"/>
    <w:rsid w:val="00571A9C"/>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adelista4-nfasis51">
    <w:name w:val="Tabla de lista 4 - Énfasis 51"/>
    <w:basedOn w:val="Tablanormal"/>
    <w:next w:val="Tabladelista4-nfasis5"/>
    <w:uiPriority w:val="49"/>
    <w:rsid w:val="00571A9C"/>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Normal11">
    <w:name w:val="Table Normal11"/>
    <w:uiPriority w:val="2"/>
    <w:semiHidden/>
    <w:unhideWhenUsed/>
    <w:qFormat/>
    <w:rsid w:val="00571A9C"/>
    <w:pPr>
      <w:widowControl w:val="0"/>
      <w:autoSpaceDE w:val="0"/>
      <w:autoSpaceDN w:val="0"/>
      <w:spacing w:after="0" w:line="240" w:lineRule="auto"/>
    </w:pPr>
    <w:tblPr>
      <w:tblInd w:w="0" w:type="dxa"/>
      <w:tblCellMar>
        <w:top w:w="0" w:type="dxa"/>
        <w:left w:w="0" w:type="dxa"/>
        <w:bottom w:w="0" w:type="dxa"/>
        <w:right w:w="0" w:type="dxa"/>
      </w:tblCellMar>
    </w:tblPr>
  </w:style>
  <w:style w:type="character" w:customStyle="1" w:styleId="fl-heading-text">
    <w:name w:val="fl-heading-text"/>
    <w:basedOn w:val="Fuentedeprrafopredeter"/>
    <w:rsid w:val="00571A9C"/>
  </w:style>
  <w:style w:type="character" w:customStyle="1" w:styleId="y2iqfc">
    <w:name w:val="y2iqfc"/>
    <w:basedOn w:val="Fuentedeprrafopredeter"/>
    <w:rsid w:val="00571A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012414">
      <w:bodyDiv w:val="1"/>
      <w:marLeft w:val="0"/>
      <w:marRight w:val="0"/>
      <w:marTop w:val="0"/>
      <w:marBottom w:val="0"/>
      <w:divBdr>
        <w:top w:val="none" w:sz="0" w:space="0" w:color="auto"/>
        <w:left w:val="none" w:sz="0" w:space="0" w:color="auto"/>
        <w:bottom w:val="none" w:sz="0" w:space="0" w:color="auto"/>
        <w:right w:val="none" w:sz="0" w:space="0" w:color="auto"/>
      </w:divBdr>
    </w:div>
    <w:div w:id="89545380">
      <w:bodyDiv w:val="1"/>
      <w:marLeft w:val="0"/>
      <w:marRight w:val="0"/>
      <w:marTop w:val="0"/>
      <w:marBottom w:val="0"/>
      <w:divBdr>
        <w:top w:val="none" w:sz="0" w:space="0" w:color="auto"/>
        <w:left w:val="none" w:sz="0" w:space="0" w:color="auto"/>
        <w:bottom w:val="none" w:sz="0" w:space="0" w:color="auto"/>
        <w:right w:val="none" w:sz="0" w:space="0" w:color="auto"/>
      </w:divBdr>
    </w:div>
    <w:div w:id="119887137">
      <w:bodyDiv w:val="1"/>
      <w:marLeft w:val="0"/>
      <w:marRight w:val="0"/>
      <w:marTop w:val="0"/>
      <w:marBottom w:val="0"/>
      <w:divBdr>
        <w:top w:val="none" w:sz="0" w:space="0" w:color="auto"/>
        <w:left w:val="none" w:sz="0" w:space="0" w:color="auto"/>
        <w:bottom w:val="none" w:sz="0" w:space="0" w:color="auto"/>
        <w:right w:val="none" w:sz="0" w:space="0" w:color="auto"/>
      </w:divBdr>
    </w:div>
    <w:div w:id="146669702">
      <w:bodyDiv w:val="1"/>
      <w:marLeft w:val="0"/>
      <w:marRight w:val="0"/>
      <w:marTop w:val="0"/>
      <w:marBottom w:val="0"/>
      <w:divBdr>
        <w:top w:val="none" w:sz="0" w:space="0" w:color="auto"/>
        <w:left w:val="none" w:sz="0" w:space="0" w:color="auto"/>
        <w:bottom w:val="none" w:sz="0" w:space="0" w:color="auto"/>
        <w:right w:val="none" w:sz="0" w:space="0" w:color="auto"/>
      </w:divBdr>
    </w:div>
    <w:div w:id="157162363">
      <w:bodyDiv w:val="1"/>
      <w:marLeft w:val="0"/>
      <w:marRight w:val="0"/>
      <w:marTop w:val="0"/>
      <w:marBottom w:val="0"/>
      <w:divBdr>
        <w:top w:val="none" w:sz="0" w:space="0" w:color="auto"/>
        <w:left w:val="none" w:sz="0" w:space="0" w:color="auto"/>
        <w:bottom w:val="none" w:sz="0" w:space="0" w:color="auto"/>
        <w:right w:val="none" w:sz="0" w:space="0" w:color="auto"/>
      </w:divBdr>
    </w:div>
    <w:div w:id="172190424">
      <w:bodyDiv w:val="1"/>
      <w:marLeft w:val="0"/>
      <w:marRight w:val="0"/>
      <w:marTop w:val="0"/>
      <w:marBottom w:val="0"/>
      <w:divBdr>
        <w:top w:val="none" w:sz="0" w:space="0" w:color="auto"/>
        <w:left w:val="none" w:sz="0" w:space="0" w:color="auto"/>
        <w:bottom w:val="none" w:sz="0" w:space="0" w:color="auto"/>
        <w:right w:val="none" w:sz="0" w:space="0" w:color="auto"/>
      </w:divBdr>
    </w:div>
    <w:div w:id="217472822">
      <w:bodyDiv w:val="1"/>
      <w:marLeft w:val="0"/>
      <w:marRight w:val="0"/>
      <w:marTop w:val="0"/>
      <w:marBottom w:val="0"/>
      <w:divBdr>
        <w:top w:val="none" w:sz="0" w:space="0" w:color="auto"/>
        <w:left w:val="none" w:sz="0" w:space="0" w:color="auto"/>
        <w:bottom w:val="none" w:sz="0" w:space="0" w:color="auto"/>
        <w:right w:val="none" w:sz="0" w:space="0" w:color="auto"/>
      </w:divBdr>
      <w:divsChild>
        <w:div w:id="1218972213">
          <w:marLeft w:val="0"/>
          <w:marRight w:val="0"/>
          <w:marTop w:val="0"/>
          <w:marBottom w:val="0"/>
          <w:divBdr>
            <w:top w:val="none" w:sz="0" w:space="0" w:color="auto"/>
            <w:left w:val="none" w:sz="0" w:space="0" w:color="auto"/>
            <w:bottom w:val="none" w:sz="0" w:space="0" w:color="auto"/>
            <w:right w:val="none" w:sz="0" w:space="0" w:color="auto"/>
          </w:divBdr>
          <w:divsChild>
            <w:div w:id="2069456081">
              <w:marLeft w:val="0"/>
              <w:marRight w:val="0"/>
              <w:marTop w:val="0"/>
              <w:marBottom w:val="0"/>
              <w:divBdr>
                <w:top w:val="none" w:sz="0" w:space="0" w:color="auto"/>
                <w:left w:val="none" w:sz="0" w:space="0" w:color="auto"/>
                <w:bottom w:val="none" w:sz="0" w:space="0" w:color="auto"/>
                <w:right w:val="none" w:sz="0" w:space="0" w:color="auto"/>
              </w:divBdr>
              <w:divsChild>
                <w:div w:id="2115979722">
                  <w:marLeft w:val="0"/>
                  <w:marRight w:val="0"/>
                  <w:marTop w:val="0"/>
                  <w:marBottom w:val="0"/>
                  <w:divBdr>
                    <w:top w:val="none" w:sz="0" w:space="0" w:color="auto"/>
                    <w:left w:val="none" w:sz="0" w:space="0" w:color="auto"/>
                    <w:bottom w:val="none" w:sz="0" w:space="0" w:color="auto"/>
                    <w:right w:val="none" w:sz="0" w:space="0" w:color="auto"/>
                  </w:divBdr>
                  <w:divsChild>
                    <w:div w:id="1980920830">
                      <w:marLeft w:val="0"/>
                      <w:marRight w:val="0"/>
                      <w:marTop w:val="0"/>
                      <w:marBottom w:val="0"/>
                      <w:divBdr>
                        <w:top w:val="none" w:sz="0" w:space="0" w:color="auto"/>
                        <w:left w:val="none" w:sz="0" w:space="0" w:color="auto"/>
                        <w:bottom w:val="none" w:sz="0" w:space="0" w:color="auto"/>
                        <w:right w:val="none" w:sz="0" w:space="0" w:color="auto"/>
                      </w:divBdr>
                      <w:divsChild>
                        <w:div w:id="1576207236">
                          <w:marLeft w:val="0"/>
                          <w:marRight w:val="0"/>
                          <w:marTop w:val="0"/>
                          <w:marBottom w:val="0"/>
                          <w:divBdr>
                            <w:top w:val="none" w:sz="0" w:space="0" w:color="auto"/>
                            <w:left w:val="none" w:sz="0" w:space="0" w:color="auto"/>
                            <w:bottom w:val="none" w:sz="0" w:space="0" w:color="auto"/>
                            <w:right w:val="none" w:sz="0" w:space="0" w:color="auto"/>
                          </w:divBdr>
                          <w:divsChild>
                            <w:div w:id="1054622330">
                              <w:marLeft w:val="0"/>
                              <w:marRight w:val="0"/>
                              <w:marTop w:val="0"/>
                              <w:marBottom w:val="0"/>
                              <w:divBdr>
                                <w:top w:val="none" w:sz="0" w:space="0" w:color="auto"/>
                                <w:left w:val="none" w:sz="0" w:space="0" w:color="auto"/>
                                <w:bottom w:val="none" w:sz="0" w:space="0" w:color="auto"/>
                                <w:right w:val="none" w:sz="0" w:space="0" w:color="auto"/>
                              </w:divBdr>
                              <w:divsChild>
                                <w:div w:id="1075475566">
                                  <w:marLeft w:val="0"/>
                                  <w:marRight w:val="0"/>
                                  <w:marTop w:val="0"/>
                                  <w:marBottom w:val="0"/>
                                  <w:divBdr>
                                    <w:top w:val="none" w:sz="0" w:space="0" w:color="auto"/>
                                    <w:left w:val="none" w:sz="0" w:space="0" w:color="auto"/>
                                    <w:bottom w:val="none" w:sz="0" w:space="0" w:color="auto"/>
                                    <w:right w:val="none" w:sz="0" w:space="0" w:color="auto"/>
                                  </w:divBdr>
                                  <w:divsChild>
                                    <w:div w:id="1136214623">
                                      <w:marLeft w:val="0"/>
                                      <w:marRight w:val="0"/>
                                      <w:marTop w:val="0"/>
                                      <w:marBottom w:val="0"/>
                                      <w:divBdr>
                                        <w:top w:val="none" w:sz="0" w:space="0" w:color="auto"/>
                                        <w:left w:val="none" w:sz="0" w:space="0" w:color="auto"/>
                                        <w:bottom w:val="none" w:sz="0" w:space="0" w:color="auto"/>
                                        <w:right w:val="none" w:sz="0" w:space="0" w:color="auto"/>
                                      </w:divBdr>
                                      <w:divsChild>
                                        <w:div w:id="1120993595">
                                          <w:marLeft w:val="0"/>
                                          <w:marRight w:val="0"/>
                                          <w:marTop w:val="0"/>
                                          <w:marBottom w:val="0"/>
                                          <w:divBdr>
                                            <w:top w:val="none" w:sz="0" w:space="0" w:color="auto"/>
                                            <w:left w:val="none" w:sz="0" w:space="0" w:color="auto"/>
                                            <w:bottom w:val="none" w:sz="0" w:space="0" w:color="auto"/>
                                            <w:right w:val="none" w:sz="0" w:space="0" w:color="auto"/>
                                          </w:divBdr>
                                          <w:divsChild>
                                            <w:div w:id="1268654014">
                                              <w:marLeft w:val="0"/>
                                              <w:marRight w:val="0"/>
                                              <w:marTop w:val="0"/>
                                              <w:marBottom w:val="0"/>
                                              <w:divBdr>
                                                <w:top w:val="none" w:sz="0" w:space="0" w:color="auto"/>
                                                <w:left w:val="none" w:sz="0" w:space="0" w:color="auto"/>
                                                <w:bottom w:val="none" w:sz="0" w:space="0" w:color="auto"/>
                                                <w:right w:val="none" w:sz="0" w:space="0" w:color="auto"/>
                                              </w:divBdr>
                                              <w:divsChild>
                                                <w:div w:id="1938362421">
                                                  <w:marLeft w:val="0"/>
                                                  <w:marRight w:val="0"/>
                                                  <w:marTop w:val="0"/>
                                                  <w:marBottom w:val="0"/>
                                                  <w:divBdr>
                                                    <w:top w:val="none" w:sz="0" w:space="0" w:color="auto"/>
                                                    <w:left w:val="none" w:sz="0" w:space="0" w:color="auto"/>
                                                    <w:bottom w:val="none" w:sz="0" w:space="0" w:color="auto"/>
                                                    <w:right w:val="none" w:sz="0" w:space="0" w:color="auto"/>
                                                  </w:divBdr>
                                                  <w:divsChild>
                                                    <w:div w:id="376975133">
                                                      <w:marLeft w:val="0"/>
                                                      <w:marRight w:val="0"/>
                                                      <w:marTop w:val="0"/>
                                                      <w:marBottom w:val="0"/>
                                                      <w:divBdr>
                                                        <w:top w:val="none" w:sz="0" w:space="0" w:color="auto"/>
                                                        <w:left w:val="none" w:sz="0" w:space="0" w:color="auto"/>
                                                        <w:bottom w:val="none" w:sz="0" w:space="0" w:color="auto"/>
                                                        <w:right w:val="none" w:sz="0" w:space="0" w:color="auto"/>
                                                      </w:divBdr>
                                                      <w:divsChild>
                                                        <w:div w:id="1078210947">
                                                          <w:marLeft w:val="0"/>
                                                          <w:marRight w:val="0"/>
                                                          <w:marTop w:val="0"/>
                                                          <w:marBottom w:val="0"/>
                                                          <w:divBdr>
                                                            <w:top w:val="none" w:sz="0" w:space="0" w:color="auto"/>
                                                            <w:left w:val="none" w:sz="0" w:space="0" w:color="auto"/>
                                                            <w:bottom w:val="none" w:sz="0" w:space="0" w:color="auto"/>
                                                            <w:right w:val="none" w:sz="0" w:space="0" w:color="auto"/>
                                                          </w:divBdr>
                                                          <w:divsChild>
                                                            <w:div w:id="214730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77759641">
      <w:bodyDiv w:val="1"/>
      <w:marLeft w:val="0"/>
      <w:marRight w:val="0"/>
      <w:marTop w:val="0"/>
      <w:marBottom w:val="0"/>
      <w:divBdr>
        <w:top w:val="none" w:sz="0" w:space="0" w:color="auto"/>
        <w:left w:val="none" w:sz="0" w:space="0" w:color="auto"/>
        <w:bottom w:val="none" w:sz="0" w:space="0" w:color="auto"/>
        <w:right w:val="none" w:sz="0" w:space="0" w:color="auto"/>
      </w:divBdr>
    </w:div>
    <w:div w:id="296835445">
      <w:bodyDiv w:val="1"/>
      <w:marLeft w:val="0"/>
      <w:marRight w:val="0"/>
      <w:marTop w:val="0"/>
      <w:marBottom w:val="0"/>
      <w:divBdr>
        <w:top w:val="none" w:sz="0" w:space="0" w:color="auto"/>
        <w:left w:val="none" w:sz="0" w:space="0" w:color="auto"/>
        <w:bottom w:val="none" w:sz="0" w:space="0" w:color="auto"/>
        <w:right w:val="none" w:sz="0" w:space="0" w:color="auto"/>
      </w:divBdr>
    </w:div>
    <w:div w:id="318971506">
      <w:bodyDiv w:val="1"/>
      <w:marLeft w:val="0"/>
      <w:marRight w:val="0"/>
      <w:marTop w:val="0"/>
      <w:marBottom w:val="0"/>
      <w:divBdr>
        <w:top w:val="none" w:sz="0" w:space="0" w:color="auto"/>
        <w:left w:val="none" w:sz="0" w:space="0" w:color="auto"/>
        <w:bottom w:val="none" w:sz="0" w:space="0" w:color="auto"/>
        <w:right w:val="none" w:sz="0" w:space="0" w:color="auto"/>
      </w:divBdr>
    </w:div>
    <w:div w:id="323826530">
      <w:bodyDiv w:val="1"/>
      <w:marLeft w:val="0"/>
      <w:marRight w:val="0"/>
      <w:marTop w:val="0"/>
      <w:marBottom w:val="0"/>
      <w:divBdr>
        <w:top w:val="none" w:sz="0" w:space="0" w:color="auto"/>
        <w:left w:val="none" w:sz="0" w:space="0" w:color="auto"/>
        <w:bottom w:val="none" w:sz="0" w:space="0" w:color="auto"/>
        <w:right w:val="none" w:sz="0" w:space="0" w:color="auto"/>
      </w:divBdr>
      <w:divsChild>
        <w:div w:id="545409833">
          <w:marLeft w:val="0"/>
          <w:marRight w:val="0"/>
          <w:marTop w:val="0"/>
          <w:marBottom w:val="0"/>
          <w:divBdr>
            <w:top w:val="none" w:sz="0" w:space="0" w:color="auto"/>
            <w:left w:val="none" w:sz="0" w:space="0" w:color="auto"/>
            <w:bottom w:val="none" w:sz="0" w:space="0" w:color="auto"/>
            <w:right w:val="none" w:sz="0" w:space="0" w:color="auto"/>
          </w:divBdr>
          <w:divsChild>
            <w:div w:id="1661350860">
              <w:marLeft w:val="0"/>
              <w:marRight w:val="0"/>
              <w:marTop w:val="0"/>
              <w:marBottom w:val="0"/>
              <w:divBdr>
                <w:top w:val="none" w:sz="0" w:space="0" w:color="auto"/>
                <w:left w:val="none" w:sz="0" w:space="0" w:color="auto"/>
                <w:bottom w:val="none" w:sz="0" w:space="0" w:color="auto"/>
                <w:right w:val="none" w:sz="0" w:space="0" w:color="auto"/>
              </w:divBdr>
              <w:divsChild>
                <w:div w:id="714232794">
                  <w:marLeft w:val="0"/>
                  <w:marRight w:val="0"/>
                  <w:marTop w:val="0"/>
                  <w:marBottom w:val="0"/>
                  <w:divBdr>
                    <w:top w:val="none" w:sz="0" w:space="0" w:color="auto"/>
                    <w:left w:val="none" w:sz="0" w:space="0" w:color="auto"/>
                    <w:bottom w:val="none" w:sz="0" w:space="0" w:color="auto"/>
                    <w:right w:val="none" w:sz="0" w:space="0" w:color="auto"/>
                  </w:divBdr>
                  <w:divsChild>
                    <w:div w:id="148795311">
                      <w:marLeft w:val="0"/>
                      <w:marRight w:val="0"/>
                      <w:marTop w:val="0"/>
                      <w:marBottom w:val="0"/>
                      <w:divBdr>
                        <w:top w:val="none" w:sz="0" w:space="0" w:color="auto"/>
                        <w:left w:val="none" w:sz="0" w:space="0" w:color="auto"/>
                        <w:bottom w:val="none" w:sz="0" w:space="0" w:color="auto"/>
                        <w:right w:val="none" w:sz="0" w:space="0" w:color="auto"/>
                      </w:divBdr>
                      <w:divsChild>
                        <w:div w:id="19088592">
                          <w:marLeft w:val="0"/>
                          <w:marRight w:val="0"/>
                          <w:marTop w:val="0"/>
                          <w:marBottom w:val="0"/>
                          <w:divBdr>
                            <w:top w:val="none" w:sz="0" w:space="0" w:color="auto"/>
                            <w:left w:val="none" w:sz="0" w:space="0" w:color="auto"/>
                            <w:bottom w:val="none" w:sz="0" w:space="0" w:color="auto"/>
                            <w:right w:val="none" w:sz="0" w:space="0" w:color="auto"/>
                          </w:divBdr>
                          <w:divsChild>
                            <w:div w:id="987056236">
                              <w:marLeft w:val="0"/>
                              <w:marRight w:val="0"/>
                              <w:marTop w:val="0"/>
                              <w:marBottom w:val="0"/>
                              <w:divBdr>
                                <w:top w:val="none" w:sz="0" w:space="0" w:color="auto"/>
                                <w:left w:val="none" w:sz="0" w:space="0" w:color="auto"/>
                                <w:bottom w:val="none" w:sz="0" w:space="0" w:color="auto"/>
                                <w:right w:val="none" w:sz="0" w:space="0" w:color="auto"/>
                              </w:divBdr>
                              <w:divsChild>
                                <w:div w:id="1193880721">
                                  <w:marLeft w:val="0"/>
                                  <w:marRight w:val="0"/>
                                  <w:marTop w:val="0"/>
                                  <w:marBottom w:val="0"/>
                                  <w:divBdr>
                                    <w:top w:val="none" w:sz="0" w:space="0" w:color="auto"/>
                                    <w:left w:val="none" w:sz="0" w:space="0" w:color="auto"/>
                                    <w:bottom w:val="none" w:sz="0" w:space="0" w:color="auto"/>
                                    <w:right w:val="none" w:sz="0" w:space="0" w:color="auto"/>
                                  </w:divBdr>
                                  <w:divsChild>
                                    <w:div w:id="58990095">
                                      <w:marLeft w:val="0"/>
                                      <w:marRight w:val="0"/>
                                      <w:marTop w:val="0"/>
                                      <w:marBottom w:val="0"/>
                                      <w:divBdr>
                                        <w:top w:val="none" w:sz="0" w:space="0" w:color="auto"/>
                                        <w:left w:val="none" w:sz="0" w:space="0" w:color="auto"/>
                                        <w:bottom w:val="none" w:sz="0" w:space="0" w:color="auto"/>
                                        <w:right w:val="none" w:sz="0" w:space="0" w:color="auto"/>
                                      </w:divBdr>
                                      <w:divsChild>
                                        <w:div w:id="1538278895">
                                          <w:marLeft w:val="0"/>
                                          <w:marRight w:val="0"/>
                                          <w:marTop w:val="0"/>
                                          <w:marBottom w:val="0"/>
                                          <w:divBdr>
                                            <w:top w:val="none" w:sz="0" w:space="0" w:color="auto"/>
                                            <w:left w:val="none" w:sz="0" w:space="0" w:color="auto"/>
                                            <w:bottom w:val="none" w:sz="0" w:space="0" w:color="auto"/>
                                            <w:right w:val="none" w:sz="0" w:space="0" w:color="auto"/>
                                          </w:divBdr>
                                          <w:divsChild>
                                            <w:div w:id="662589441">
                                              <w:marLeft w:val="0"/>
                                              <w:marRight w:val="0"/>
                                              <w:marTop w:val="0"/>
                                              <w:marBottom w:val="0"/>
                                              <w:divBdr>
                                                <w:top w:val="none" w:sz="0" w:space="0" w:color="auto"/>
                                                <w:left w:val="none" w:sz="0" w:space="0" w:color="auto"/>
                                                <w:bottom w:val="none" w:sz="0" w:space="0" w:color="auto"/>
                                                <w:right w:val="none" w:sz="0" w:space="0" w:color="auto"/>
                                              </w:divBdr>
                                              <w:divsChild>
                                                <w:div w:id="337274755">
                                                  <w:marLeft w:val="0"/>
                                                  <w:marRight w:val="0"/>
                                                  <w:marTop w:val="0"/>
                                                  <w:marBottom w:val="0"/>
                                                  <w:divBdr>
                                                    <w:top w:val="none" w:sz="0" w:space="0" w:color="auto"/>
                                                    <w:left w:val="none" w:sz="0" w:space="0" w:color="auto"/>
                                                    <w:bottom w:val="none" w:sz="0" w:space="0" w:color="auto"/>
                                                    <w:right w:val="none" w:sz="0" w:space="0" w:color="auto"/>
                                                  </w:divBdr>
                                                  <w:divsChild>
                                                    <w:div w:id="480539993">
                                                      <w:marLeft w:val="0"/>
                                                      <w:marRight w:val="0"/>
                                                      <w:marTop w:val="0"/>
                                                      <w:marBottom w:val="0"/>
                                                      <w:divBdr>
                                                        <w:top w:val="none" w:sz="0" w:space="0" w:color="auto"/>
                                                        <w:left w:val="none" w:sz="0" w:space="0" w:color="auto"/>
                                                        <w:bottom w:val="none" w:sz="0" w:space="0" w:color="auto"/>
                                                        <w:right w:val="none" w:sz="0" w:space="0" w:color="auto"/>
                                                      </w:divBdr>
                                                      <w:divsChild>
                                                        <w:div w:id="930696602">
                                                          <w:marLeft w:val="0"/>
                                                          <w:marRight w:val="0"/>
                                                          <w:marTop w:val="0"/>
                                                          <w:marBottom w:val="0"/>
                                                          <w:divBdr>
                                                            <w:top w:val="none" w:sz="0" w:space="0" w:color="auto"/>
                                                            <w:left w:val="none" w:sz="0" w:space="0" w:color="auto"/>
                                                            <w:bottom w:val="none" w:sz="0" w:space="0" w:color="auto"/>
                                                            <w:right w:val="none" w:sz="0" w:space="0" w:color="auto"/>
                                                          </w:divBdr>
                                                          <w:divsChild>
                                                            <w:div w:id="86645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9819224">
      <w:bodyDiv w:val="1"/>
      <w:marLeft w:val="0"/>
      <w:marRight w:val="0"/>
      <w:marTop w:val="0"/>
      <w:marBottom w:val="0"/>
      <w:divBdr>
        <w:top w:val="none" w:sz="0" w:space="0" w:color="auto"/>
        <w:left w:val="none" w:sz="0" w:space="0" w:color="auto"/>
        <w:bottom w:val="none" w:sz="0" w:space="0" w:color="auto"/>
        <w:right w:val="none" w:sz="0" w:space="0" w:color="auto"/>
      </w:divBdr>
      <w:divsChild>
        <w:div w:id="1055737184">
          <w:marLeft w:val="0"/>
          <w:marRight w:val="0"/>
          <w:marTop w:val="0"/>
          <w:marBottom w:val="0"/>
          <w:divBdr>
            <w:top w:val="none" w:sz="0" w:space="0" w:color="auto"/>
            <w:left w:val="none" w:sz="0" w:space="0" w:color="auto"/>
            <w:bottom w:val="none" w:sz="0" w:space="0" w:color="auto"/>
            <w:right w:val="none" w:sz="0" w:space="0" w:color="auto"/>
          </w:divBdr>
          <w:divsChild>
            <w:div w:id="346758775">
              <w:marLeft w:val="0"/>
              <w:marRight w:val="0"/>
              <w:marTop w:val="0"/>
              <w:marBottom w:val="0"/>
              <w:divBdr>
                <w:top w:val="none" w:sz="0" w:space="0" w:color="auto"/>
                <w:left w:val="none" w:sz="0" w:space="0" w:color="auto"/>
                <w:bottom w:val="none" w:sz="0" w:space="0" w:color="auto"/>
                <w:right w:val="none" w:sz="0" w:space="0" w:color="auto"/>
              </w:divBdr>
              <w:divsChild>
                <w:div w:id="1233659497">
                  <w:marLeft w:val="0"/>
                  <w:marRight w:val="0"/>
                  <w:marTop w:val="0"/>
                  <w:marBottom w:val="0"/>
                  <w:divBdr>
                    <w:top w:val="none" w:sz="0" w:space="0" w:color="auto"/>
                    <w:left w:val="none" w:sz="0" w:space="0" w:color="auto"/>
                    <w:bottom w:val="none" w:sz="0" w:space="0" w:color="auto"/>
                    <w:right w:val="none" w:sz="0" w:space="0" w:color="auto"/>
                  </w:divBdr>
                  <w:divsChild>
                    <w:div w:id="189926159">
                      <w:marLeft w:val="0"/>
                      <w:marRight w:val="0"/>
                      <w:marTop w:val="0"/>
                      <w:marBottom w:val="0"/>
                      <w:divBdr>
                        <w:top w:val="none" w:sz="0" w:space="0" w:color="auto"/>
                        <w:left w:val="none" w:sz="0" w:space="0" w:color="auto"/>
                        <w:bottom w:val="none" w:sz="0" w:space="0" w:color="auto"/>
                        <w:right w:val="none" w:sz="0" w:space="0" w:color="auto"/>
                      </w:divBdr>
                      <w:divsChild>
                        <w:div w:id="1901864152">
                          <w:marLeft w:val="0"/>
                          <w:marRight w:val="0"/>
                          <w:marTop w:val="0"/>
                          <w:marBottom w:val="0"/>
                          <w:divBdr>
                            <w:top w:val="none" w:sz="0" w:space="0" w:color="auto"/>
                            <w:left w:val="none" w:sz="0" w:space="0" w:color="auto"/>
                            <w:bottom w:val="none" w:sz="0" w:space="0" w:color="auto"/>
                            <w:right w:val="none" w:sz="0" w:space="0" w:color="auto"/>
                          </w:divBdr>
                          <w:divsChild>
                            <w:div w:id="581187898">
                              <w:marLeft w:val="0"/>
                              <w:marRight w:val="0"/>
                              <w:marTop w:val="0"/>
                              <w:marBottom w:val="0"/>
                              <w:divBdr>
                                <w:top w:val="none" w:sz="0" w:space="0" w:color="auto"/>
                                <w:left w:val="none" w:sz="0" w:space="0" w:color="auto"/>
                                <w:bottom w:val="none" w:sz="0" w:space="0" w:color="auto"/>
                                <w:right w:val="none" w:sz="0" w:space="0" w:color="auto"/>
                              </w:divBdr>
                              <w:divsChild>
                                <w:div w:id="1658142819">
                                  <w:marLeft w:val="0"/>
                                  <w:marRight w:val="0"/>
                                  <w:marTop w:val="0"/>
                                  <w:marBottom w:val="0"/>
                                  <w:divBdr>
                                    <w:top w:val="none" w:sz="0" w:space="0" w:color="auto"/>
                                    <w:left w:val="none" w:sz="0" w:space="0" w:color="auto"/>
                                    <w:bottom w:val="none" w:sz="0" w:space="0" w:color="auto"/>
                                    <w:right w:val="none" w:sz="0" w:space="0" w:color="auto"/>
                                  </w:divBdr>
                                  <w:divsChild>
                                    <w:div w:id="116920640">
                                      <w:marLeft w:val="0"/>
                                      <w:marRight w:val="0"/>
                                      <w:marTop w:val="0"/>
                                      <w:marBottom w:val="0"/>
                                      <w:divBdr>
                                        <w:top w:val="none" w:sz="0" w:space="0" w:color="auto"/>
                                        <w:left w:val="none" w:sz="0" w:space="0" w:color="auto"/>
                                        <w:bottom w:val="none" w:sz="0" w:space="0" w:color="auto"/>
                                        <w:right w:val="none" w:sz="0" w:space="0" w:color="auto"/>
                                      </w:divBdr>
                                      <w:divsChild>
                                        <w:div w:id="219169597">
                                          <w:marLeft w:val="0"/>
                                          <w:marRight w:val="0"/>
                                          <w:marTop w:val="0"/>
                                          <w:marBottom w:val="0"/>
                                          <w:divBdr>
                                            <w:top w:val="none" w:sz="0" w:space="0" w:color="auto"/>
                                            <w:left w:val="none" w:sz="0" w:space="0" w:color="auto"/>
                                            <w:bottom w:val="none" w:sz="0" w:space="0" w:color="auto"/>
                                            <w:right w:val="none" w:sz="0" w:space="0" w:color="auto"/>
                                          </w:divBdr>
                                          <w:divsChild>
                                            <w:div w:id="149443640">
                                              <w:marLeft w:val="0"/>
                                              <w:marRight w:val="0"/>
                                              <w:marTop w:val="0"/>
                                              <w:marBottom w:val="0"/>
                                              <w:divBdr>
                                                <w:top w:val="none" w:sz="0" w:space="0" w:color="auto"/>
                                                <w:left w:val="none" w:sz="0" w:space="0" w:color="auto"/>
                                                <w:bottom w:val="none" w:sz="0" w:space="0" w:color="auto"/>
                                                <w:right w:val="none" w:sz="0" w:space="0" w:color="auto"/>
                                              </w:divBdr>
                                              <w:divsChild>
                                                <w:div w:id="779228952">
                                                  <w:marLeft w:val="0"/>
                                                  <w:marRight w:val="0"/>
                                                  <w:marTop w:val="0"/>
                                                  <w:marBottom w:val="0"/>
                                                  <w:divBdr>
                                                    <w:top w:val="none" w:sz="0" w:space="0" w:color="auto"/>
                                                    <w:left w:val="none" w:sz="0" w:space="0" w:color="auto"/>
                                                    <w:bottom w:val="none" w:sz="0" w:space="0" w:color="auto"/>
                                                    <w:right w:val="none" w:sz="0" w:space="0" w:color="auto"/>
                                                  </w:divBdr>
                                                  <w:divsChild>
                                                    <w:div w:id="1257984744">
                                                      <w:marLeft w:val="0"/>
                                                      <w:marRight w:val="0"/>
                                                      <w:marTop w:val="0"/>
                                                      <w:marBottom w:val="0"/>
                                                      <w:divBdr>
                                                        <w:top w:val="none" w:sz="0" w:space="0" w:color="auto"/>
                                                        <w:left w:val="none" w:sz="0" w:space="0" w:color="auto"/>
                                                        <w:bottom w:val="none" w:sz="0" w:space="0" w:color="auto"/>
                                                        <w:right w:val="none" w:sz="0" w:space="0" w:color="auto"/>
                                                      </w:divBdr>
                                                      <w:divsChild>
                                                        <w:div w:id="1863131027">
                                                          <w:marLeft w:val="0"/>
                                                          <w:marRight w:val="0"/>
                                                          <w:marTop w:val="0"/>
                                                          <w:marBottom w:val="0"/>
                                                          <w:divBdr>
                                                            <w:top w:val="none" w:sz="0" w:space="0" w:color="auto"/>
                                                            <w:left w:val="none" w:sz="0" w:space="0" w:color="auto"/>
                                                            <w:bottom w:val="none" w:sz="0" w:space="0" w:color="auto"/>
                                                            <w:right w:val="none" w:sz="0" w:space="0" w:color="auto"/>
                                                          </w:divBdr>
                                                          <w:divsChild>
                                                            <w:div w:id="164896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59165107">
      <w:bodyDiv w:val="1"/>
      <w:marLeft w:val="0"/>
      <w:marRight w:val="0"/>
      <w:marTop w:val="0"/>
      <w:marBottom w:val="0"/>
      <w:divBdr>
        <w:top w:val="none" w:sz="0" w:space="0" w:color="auto"/>
        <w:left w:val="none" w:sz="0" w:space="0" w:color="auto"/>
        <w:bottom w:val="none" w:sz="0" w:space="0" w:color="auto"/>
        <w:right w:val="none" w:sz="0" w:space="0" w:color="auto"/>
      </w:divBdr>
    </w:div>
    <w:div w:id="379673572">
      <w:bodyDiv w:val="1"/>
      <w:marLeft w:val="0"/>
      <w:marRight w:val="0"/>
      <w:marTop w:val="0"/>
      <w:marBottom w:val="0"/>
      <w:divBdr>
        <w:top w:val="none" w:sz="0" w:space="0" w:color="auto"/>
        <w:left w:val="none" w:sz="0" w:space="0" w:color="auto"/>
        <w:bottom w:val="none" w:sz="0" w:space="0" w:color="auto"/>
        <w:right w:val="none" w:sz="0" w:space="0" w:color="auto"/>
      </w:divBdr>
    </w:div>
    <w:div w:id="399791389">
      <w:bodyDiv w:val="1"/>
      <w:marLeft w:val="0"/>
      <w:marRight w:val="0"/>
      <w:marTop w:val="0"/>
      <w:marBottom w:val="0"/>
      <w:divBdr>
        <w:top w:val="none" w:sz="0" w:space="0" w:color="auto"/>
        <w:left w:val="none" w:sz="0" w:space="0" w:color="auto"/>
        <w:bottom w:val="none" w:sz="0" w:space="0" w:color="auto"/>
        <w:right w:val="none" w:sz="0" w:space="0" w:color="auto"/>
      </w:divBdr>
      <w:divsChild>
        <w:div w:id="891893361">
          <w:marLeft w:val="0"/>
          <w:marRight w:val="0"/>
          <w:marTop w:val="0"/>
          <w:marBottom w:val="0"/>
          <w:divBdr>
            <w:top w:val="none" w:sz="0" w:space="0" w:color="auto"/>
            <w:left w:val="none" w:sz="0" w:space="0" w:color="auto"/>
            <w:bottom w:val="none" w:sz="0" w:space="0" w:color="auto"/>
            <w:right w:val="none" w:sz="0" w:space="0" w:color="auto"/>
          </w:divBdr>
          <w:divsChild>
            <w:div w:id="910426964">
              <w:marLeft w:val="0"/>
              <w:marRight w:val="0"/>
              <w:marTop w:val="0"/>
              <w:marBottom w:val="0"/>
              <w:divBdr>
                <w:top w:val="none" w:sz="0" w:space="0" w:color="auto"/>
                <w:left w:val="none" w:sz="0" w:space="0" w:color="auto"/>
                <w:bottom w:val="none" w:sz="0" w:space="0" w:color="auto"/>
                <w:right w:val="none" w:sz="0" w:space="0" w:color="auto"/>
              </w:divBdr>
              <w:divsChild>
                <w:div w:id="826555574">
                  <w:marLeft w:val="0"/>
                  <w:marRight w:val="0"/>
                  <w:marTop w:val="0"/>
                  <w:marBottom w:val="0"/>
                  <w:divBdr>
                    <w:top w:val="none" w:sz="0" w:space="0" w:color="auto"/>
                    <w:left w:val="none" w:sz="0" w:space="0" w:color="auto"/>
                    <w:bottom w:val="none" w:sz="0" w:space="0" w:color="auto"/>
                    <w:right w:val="none" w:sz="0" w:space="0" w:color="auto"/>
                  </w:divBdr>
                  <w:divsChild>
                    <w:div w:id="1071586938">
                      <w:marLeft w:val="0"/>
                      <w:marRight w:val="0"/>
                      <w:marTop w:val="0"/>
                      <w:marBottom w:val="0"/>
                      <w:divBdr>
                        <w:top w:val="none" w:sz="0" w:space="0" w:color="auto"/>
                        <w:left w:val="none" w:sz="0" w:space="0" w:color="auto"/>
                        <w:bottom w:val="none" w:sz="0" w:space="0" w:color="auto"/>
                        <w:right w:val="none" w:sz="0" w:space="0" w:color="auto"/>
                      </w:divBdr>
                      <w:divsChild>
                        <w:div w:id="833571453">
                          <w:marLeft w:val="0"/>
                          <w:marRight w:val="0"/>
                          <w:marTop w:val="0"/>
                          <w:marBottom w:val="0"/>
                          <w:divBdr>
                            <w:top w:val="none" w:sz="0" w:space="0" w:color="auto"/>
                            <w:left w:val="none" w:sz="0" w:space="0" w:color="auto"/>
                            <w:bottom w:val="none" w:sz="0" w:space="0" w:color="auto"/>
                            <w:right w:val="none" w:sz="0" w:space="0" w:color="auto"/>
                          </w:divBdr>
                          <w:divsChild>
                            <w:div w:id="499541494">
                              <w:marLeft w:val="0"/>
                              <w:marRight w:val="0"/>
                              <w:marTop w:val="0"/>
                              <w:marBottom w:val="0"/>
                              <w:divBdr>
                                <w:top w:val="none" w:sz="0" w:space="0" w:color="auto"/>
                                <w:left w:val="none" w:sz="0" w:space="0" w:color="auto"/>
                                <w:bottom w:val="none" w:sz="0" w:space="0" w:color="auto"/>
                                <w:right w:val="none" w:sz="0" w:space="0" w:color="auto"/>
                              </w:divBdr>
                              <w:divsChild>
                                <w:div w:id="684795744">
                                  <w:marLeft w:val="0"/>
                                  <w:marRight w:val="0"/>
                                  <w:marTop w:val="0"/>
                                  <w:marBottom w:val="0"/>
                                  <w:divBdr>
                                    <w:top w:val="none" w:sz="0" w:space="0" w:color="auto"/>
                                    <w:left w:val="none" w:sz="0" w:space="0" w:color="auto"/>
                                    <w:bottom w:val="none" w:sz="0" w:space="0" w:color="auto"/>
                                    <w:right w:val="none" w:sz="0" w:space="0" w:color="auto"/>
                                  </w:divBdr>
                                  <w:divsChild>
                                    <w:div w:id="259945598">
                                      <w:marLeft w:val="0"/>
                                      <w:marRight w:val="0"/>
                                      <w:marTop w:val="0"/>
                                      <w:marBottom w:val="0"/>
                                      <w:divBdr>
                                        <w:top w:val="none" w:sz="0" w:space="0" w:color="auto"/>
                                        <w:left w:val="none" w:sz="0" w:space="0" w:color="auto"/>
                                        <w:bottom w:val="none" w:sz="0" w:space="0" w:color="auto"/>
                                        <w:right w:val="none" w:sz="0" w:space="0" w:color="auto"/>
                                      </w:divBdr>
                                      <w:divsChild>
                                        <w:div w:id="981928741">
                                          <w:marLeft w:val="0"/>
                                          <w:marRight w:val="0"/>
                                          <w:marTop w:val="0"/>
                                          <w:marBottom w:val="0"/>
                                          <w:divBdr>
                                            <w:top w:val="none" w:sz="0" w:space="0" w:color="auto"/>
                                            <w:left w:val="none" w:sz="0" w:space="0" w:color="auto"/>
                                            <w:bottom w:val="none" w:sz="0" w:space="0" w:color="auto"/>
                                            <w:right w:val="none" w:sz="0" w:space="0" w:color="auto"/>
                                          </w:divBdr>
                                          <w:divsChild>
                                            <w:div w:id="1667321780">
                                              <w:marLeft w:val="0"/>
                                              <w:marRight w:val="0"/>
                                              <w:marTop w:val="0"/>
                                              <w:marBottom w:val="0"/>
                                              <w:divBdr>
                                                <w:top w:val="none" w:sz="0" w:space="0" w:color="auto"/>
                                                <w:left w:val="none" w:sz="0" w:space="0" w:color="auto"/>
                                                <w:bottom w:val="none" w:sz="0" w:space="0" w:color="auto"/>
                                                <w:right w:val="none" w:sz="0" w:space="0" w:color="auto"/>
                                              </w:divBdr>
                                              <w:divsChild>
                                                <w:div w:id="1946035215">
                                                  <w:marLeft w:val="0"/>
                                                  <w:marRight w:val="0"/>
                                                  <w:marTop w:val="0"/>
                                                  <w:marBottom w:val="0"/>
                                                  <w:divBdr>
                                                    <w:top w:val="none" w:sz="0" w:space="0" w:color="auto"/>
                                                    <w:left w:val="none" w:sz="0" w:space="0" w:color="auto"/>
                                                    <w:bottom w:val="none" w:sz="0" w:space="0" w:color="auto"/>
                                                    <w:right w:val="none" w:sz="0" w:space="0" w:color="auto"/>
                                                  </w:divBdr>
                                                  <w:divsChild>
                                                    <w:div w:id="416634018">
                                                      <w:marLeft w:val="0"/>
                                                      <w:marRight w:val="0"/>
                                                      <w:marTop w:val="0"/>
                                                      <w:marBottom w:val="0"/>
                                                      <w:divBdr>
                                                        <w:top w:val="none" w:sz="0" w:space="0" w:color="auto"/>
                                                        <w:left w:val="none" w:sz="0" w:space="0" w:color="auto"/>
                                                        <w:bottom w:val="none" w:sz="0" w:space="0" w:color="auto"/>
                                                        <w:right w:val="none" w:sz="0" w:space="0" w:color="auto"/>
                                                      </w:divBdr>
                                                      <w:divsChild>
                                                        <w:div w:id="1560820097">
                                                          <w:marLeft w:val="0"/>
                                                          <w:marRight w:val="0"/>
                                                          <w:marTop w:val="0"/>
                                                          <w:marBottom w:val="0"/>
                                                          <w:divBdr>
                                                            <w:top w:val="none" w:sz="0" w:space="0" w:color="auto"/>
                                                            <w:left w:val="none" w:sz="0" w:space="0" w:color="auto"/>
                                                            <w:bottom w:val="none" w:sz="0" w:space="0" w:color="auto"/>
                                                            <w:right w:val="none" w:sz="0" w:space="0" w:color="auto"/>
                                                          </w:divBdr>
                                                          <w:divsChild>
                                                            <w:div w:id="113360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69906489">
      <w:bodyDiv w:val="1"/>
      <w:marLeft w:val="0"/>
      <w:marRight w:val="0"/>
      <w:marTop w:val="0"/>
      <w:marBottom w:val="0"/>
      <w:divBdr>
        <w:top w:val="none" w:sz="0" w:space="0" w:color="auto"/>
        <w:left w:val="none" w:sz="0" w:space="0" w:color="auto"/>
        <w:bottom w:val="none" w:sz="0" w:space="0" w:color="auto"/>
        <w:right w:val="none" w:sz="0" w:space="0" w:color="auto"/>
      </w:divBdr>
    </w:div>
    <w:div w:id="494758413">
      <w:bodyDiv w:val="1"/>
      <w:marLeft w:val="0"/>
      <w:marRight w:val="0"/>
      <w:marTop w:val="0"/>
      <w:marBottom w:val="0"/>
      <w:divBdr>
        <w:top w:val="none" w:sz="0" w:space="0" w:color="auto"/>
        <w:left w:val="none" w:sz="0" w:space="0" w:color="auto"/>
        <w:bottom w:val="none" w:sz="0" w:space="0" w:color="auto"/>
        <w:right w:val="none" w:sz="0" w:space="0" w:color="auto"/>
      </w:divBdr>
      <w:divsChild>
        <w:div w:id="28342558">
          <w:marLeft w:val="446"/>
          <w:marRight w:val="0"/>
          <w:marTop w:val="0"/>
          <w:marBottom w:val="0"/>
          <w:divBdr>
            <w:top w:val="none" w:sz="0" w:space="0" w:color="auto"/>
            <w:left w:val="none" w:sz="0" w:space="0" w:color="auto"/>
            <w:bottom w:val="none" w:sz="0" w:space="0" w:color="auto"/>
            <w:right w:val="none" w:sz="0" w:space="0" w:color="auto"/>
          </w:divBdr>
        </w:div>
        <w:div w:id="202254355">
          <w:marLeft w:val="446"/>
          <w:marRight w:val="0"/>
          <w:marTop w:val="0"/>
          <w:marBottom w:val="0"/>
          <w:divBdr>
            <w:top w:val="none" w:sz="0" w:space="0" w:color="auto"/>
            <w:left w:val="none" w:sz="0" w:space="0" w:color="auto"/>
            <w:bottom w:val="none" w:sz="0" w:space="0" w:color="auto"/>
            <w:right w:val="none" w:sz="0" w:space="0" w:color="auto"/>
          </w:divBdr>
        </w:div>
        <w:div w:id="826625944">
          <w:marLeft w:val="446"/>
          <w:marRight w:val="0"/>
          <w:marTop w:val="0"/>
          <w:marBottom w:val="0"/>
          <w:divBdr>
            <w:top w:val="none" w:sz="0" w:space="0" w:color="auto"/>
            <w:left w:val="none" w:sz="0" w:space="0" w:color="auto"/>
            <w:bottom w:val="none" w:sz="0" w:space="0" w:color="auto"/>
            <w:right w:val="none" w:sz="0" w:space="0" w:color="auto"/>
          </w:divBdr>
        </w:div>
        <w:div w:id="894318766">
          <w:marLeft w:val="446"/>
          <w:marRight w:val="0"/>
          <w:marTop w:val="0"/>
          <w:marBottom w:val="0"/>
          <w:divBdr>
            <w:top w:val="none" w:sz="0" w:space="0" w:color="auto"/>
            <w:left w:val="none" w:sz="0" w:space="0" w:color="auto"/>
            <w:bottom w:val="none" w:sz="0" w:space="0" w:color="auto"/>
            <w:right w:val="none" w:sz="0" w:space="0" w:color="auto"/>
          </w:divBdr>
        </w:div>
        <w:div w:id="1250775333">
          <w:marLeft w:val="446"/>
          <w:marRight w:val="0"/>
          <w:marTop w:val="0"/>
          <w:marBottom w:val="0"/>
          <w:divBdr>
            <w:top w:val="none" w:sz="0" w:space="0" w:color="auto"/>
            <w:left w:val="none" w:sz="0" w:space="0" w:color="auto"/>
            <w:bottom w:val="none" w:sz="0" w:space="0" w:color="auto"/>
            <w:right w:val="none" w:sz="0" w:space="0" w:color="auto"/>
          </w:divBdr>
        </w:div>
        <w:div w:id="1447844061">
          <w:marLeft w:val="446"/>
          <w:marRight w:val="0"/>
          <w:marTop w:val="0"/>
          <w:marBottom w:val="0"/>
          <w:divBdr>
            <w:top w:val="none" w:sz="0" w:space="0" w:color="auto"/>
            <w:left w:val="none" w:sz="0" w:space="0" w:color="auto"/>
            <w:bottom w:val="none" w:sz="0" w:space="0" w:color="auto"/>
            <w:right w:val="none" w:sz="0" w:space="0" w:color="auto"/>
          </w:divBdr>
        </w:div>
        <w:div w:id="1599872646">
          <w:marLeft w:val="446"/>
          <w:marRight w:val="0"/>
          <w:marTop w:val="0"/>
          <w:marBottom w:val="0"/>
          <w:divBdr>
            <w:top w:val="none" w:sz="0" w:space="0" w:color="auto"/>
            <w:left w:val="none" w:sz="0" w:space="0" w:color="auto"/>
            <w:bottom w:val="none" w:sz="0" w:space="0" w:color="auto"/>
            <w:right w:val="none" w:sz="0" w:space="0" w:color="auto"/>
          </w:divBdr>
        </w:div>
        <w:div w:id="1849638081">
          <w:marLeft w:val="446"/>
          <w:marRight w:val="0"/>
          <w:marTop w:val="0"/>
          <w:marBottom w:val="0"/>
          <w:divBdr>
            <w:top w:val="none" w:sz="0" w:space="0" w:color="auto"/>
            <w:left w:val="none" w:sz="0" w:space="0" w:color="auto"/>
            <w:bottom w:val="none" w:sz="0" w:space="0" w:color="auto"/>
            <w:right w:val="none" w:sz="0" w:space="0" w:color="auto"/>
          </w:divBdr>
        </w:div>
        <w:div w:id="1963227570">
          <w:marLeft w:val="446"/>
          <w:marRight w:val="0"/>
          <w:marTop w:val="0"/>
          <w:marBottom w:val="0"/>
          <w:divBdr>
            <w:top w:val="none" w:sz="0" w:space="0" w:color="auto"/>
            <w:left w:val="none" w:sz="0" w:space="0" w:color="auto"/>
            <w:bottom w:val="none" w:sz="0" w:space="0" w:color="auto"/>
            <w:right w:val="none" w:sz="0" w:space="0" w:color="auto"/>
          </w:divBdr>
        </w:div>
        <w:div w:id="2001276401">
          <w:marLeft w:val="446"/>
          <w:marRight w:val="0"/>
          <w:marTop w:val="0"/>
          <w:marBottom w:val="0"/>
          <w:divBdr>
            <w:top w:val="none" w:sz="0" w:space="0" w:color="auto"/>
            <w:left w:val="none" w:sz="0" w:space="0" w:color="auto"/>
            <w:bottom w:val="none" w:sz="0" w:space="0" w:color="auto"/>
            <w:right w:val="none" w:sz="0" w:space="0" w:color="auto"/>
          </w:divBdr>
        </w:div>
        <w:div w:id="2095319774">
          <w:marLeft w:val="446"/>
          <w:marRight w:val="0"/>
          <w:marTop w:val="0"/>
          <w:marBottom w:val="0"/>
          <w:divBdr>
            <w:top w:val="none" w:sz="0" w:space="0" w:color="auto"/>
            <w:left w:val="none" w:sz="0" w:space="0" w:color="auto"/>
            <w:bottom w:val="none" w:sz="0" w:space="0" w:color="auto"/>
            <w:right w:val="none" w:sz="0" w:space="0" w:color="auto"/>
          </w:divBdr>
        </w:div>
      </w:divsChild>
    </w:div>
    <w:div w:id="540485707">
      <w:bodyDiv w:val="1"/>
      <w:marLeft w:val="0"/>
      <w:marRight w:val="0"/>
      <w:marTop w:val="0"/>
      <w:marBottom w:val="0"/>
      <w:divBdr>
        <w:top w:val="none" w:sz="0" w:space="0" w:color="auto"/>
        <w:left w:val="none" w:sz="0" w:space="0" w:color="auto"/>
        <w:bottom w:val="none" w:sz="0" w:space="0" w:color="auto"/>
        <w:right w:val="none" w:sz="0" w:space="0" w:color="auto"/>
      </w:divBdr>
    </w:div>
    <w:div w:id="568348120">
      <w:bodyDiv w:val="1"/>
      <w:marLeft w:val="0"/>
      <w:marRight w:val="0"/>
      <w:marTop w:val="0"/>
      <w:marBottom w:val="0"/>
      <w:divBdr>
        <w:top w:val="none" w:sz="0" w:space="0" w:color="auto"/>
        <w:left w:val="none" w:sz="0" w:space="0" w:color="auto"/>
        <w:bottom w:val="none" w:sz="0" w:space="0" w:color="auto"/>
        <w:right w:val="none" w:sz="0" w:space="0" w:color="auto"/>
      </w:divBdr>
      <w:divsChild>
        <w:div w:id="1739787232">
          <w:marLeft w:val="0"/>
          <w:marRight w:val="0"/>
          <w:marTop w:val="0"/>
          <w:marBottom w:val="0"/>
          <w:divBdr>
            <w:top w:val="none" w:sz="0" w:space="0" w:color="auto"/>
            <w:left w:val="none" w:sz="0" w:space="0" w:color="auto"/>
            <w:bottom w:val="none" w:sz="0" w:space="0" w:color="auto"/>
            <w:right w:val="none" w:sz="0" w:space="0" w:color="auto"/>
          </w:divBdr>
          <w:divsChild>
            <w:div w:id="1492020921">
              <w:marLeft w:val="0"/>
              <w:marRight w:val="0"/>
              <w:marTop w:val="0"/>
              <w:marBottom w:val="0"/>
              <w:divBdr>
                <w:top w:val="none" w:sz="0" w:space="0" w:color="auto"/>
                <w:left w:val="none" w:sz="0" w:space="0" w:color="auto"/>
                <w:bottom w:val="none" w:sz="0" w:space="0" w:color="auto"/>
                <w:right w:val="none" w:sz="0" w:space="0" w:color="auto"/>
              </w:divBdr>
              <w:divsChild>
                <w:div w:id="898245527">
                  <w:marLeft w:val="0"/>
                  <w:marRight w:val="0"/>
                  <w:marTop w:val="0"/>
                  <w:marBottom w:val="0"/>
                  <w:divBdr>
                    <w:top w:val="none" w:sz="0" w:space="0" w:color="auto"/>
                    <w:left w:val="none" w:sz="0" w:space="0" w:color="auto"/>
                    <w:bottom w:val="none" w:sz="0" w:space="0" w:color="auto"/>
                    <w:right w:val="none" w:sz="0" w:space="0" w:color="auto"/>
                  </w:divBdr>
                  <w:divsChild>
                    <w:div w:id="1247228559">
                      <w:marLeft w:val="0"/>
                      <w:marRight w:val="0"/>
                      <w:marTop w:val="0"/>
                      <w:marBottom w:val="0"/>
                      <w:divBdr>
                        <w:top w:val="none" w:sz="0" w:space="0" w:color="auto"/>
                        <w:left w:val="none" w:sz="0" w:space="0" w:color="auto"/>
                        <w:bottom w:val="none" w:sz="0" w:space="0" w:color="auto"/>
                        <w:right w:val="none" w:sz="0" w:space="0" w:color="auto"/>
                      </w:divBdr>
                      <w:divsChild>
                        <w:div w:id="1693724811">
                          <w:marLeft w:val="0"/>
                          <w:marRight w:val="0"/>
                          <w:marTop w:val="0"/>
                          <w:marBottom w:val="0"/>
                          <w:divBdr>
                            <w:top w:val="none" w:sz="0" w:space="0" w:color="auto"/>
                            <w:left w:val="none" w:sz="0" w:space="0" w:color="auto"/>
                            <w:bottom w:val="none" w:sz="0" w:space="0" w:color="auto"/>
                            <w:right w:val="none" w:sz="0" w:space="0" w:color="auto"/>
                          </w:divBdr>
                          <w:divsChild>
                            <w:div w:id="126166341">
                              <w:marLeft w:val="0"/>
                              <w:marRight w:val="0"/>
                              <w:marTop w:val="0"/>
                              <w:marBottom w:val="0"/>
                              <w:divBdr>
                                <w:top w:val="none" w:sz="0" w:space="0" w:color="auto"/>
                                <w:left w:val="none" w:sz="0" w:space="0" w:color="auto"/>
                                <w:bottom w:val="none" w:sz="0" w:space="0" w:color="auto"/>
                                <w:right w:val="none" w:sz="0" w:space="0" w:color="auto"/>
                              </w:divBdr>
                              <w:divsChild>
                                <w:div w:id="61950381">
                                  <w:marLeft w:val="0"/>
                                  <w:marRight w:val="0"/>
                                  <w:marTop w:val="0"/>
                                  <w:marBottom w:val="0"/>
                                  <w:divBdr>
                                    <w:top w:val="none" w:sz="0" w:space="0" w:color="auto"/>
                                    <w:left w:val="none" w:sz="0" w:space="0" w:color="auto"/>
                                    <w:bottom w:val="none" w:sz="0" w:space="0" w:color="auto"/>
                                    <w:right w:val="none" w:sz="0" w:space="0" w:color="auto"/>
                                  </w:divBdr>
                                  <w:divsChild>
                                    <w:div w:id="2084909446">
                                      <w:marLeft w:val="0"/>
                                      <w:marRight w:val="0"/>
                                      <w:marTop w:val="0"/>
                                      <w:marBottom w:val="0"/>
                                      <w:divBdr>
                                        <w:top w:val="none" w:sz="0" w:space="0" w:color="auto"/>
                                        <w:left w:val="none" w:sz="0" w:space="0" w:color="auto"/>
                                        <w:bottom w:val="none" w:sz="0" w:space="0" w:color="auto"/>
                                        <w:right w:val="none" w:sz="0" w:space="0" w:color="auto"/>
                                      </w:divBdr>
                                      <w:divsChild>
                                        <w:div w:id="1101990295">
                                          <w:marLeft w:val="0"/>
                                          <w:marRight w:val="0"/>
                                          <w:marTop w:val="0"/>
                                          <w:marBottom w:val="0"/>
                                          <w:divBdr>
                                            <w:top w:val="none" w:sz="0" w:space="0" w:color="auto"/>
                                            <w:left w:val="none" w:sz="0" w:space="0" w:color="auto"/>
                                            <w:bottom w:val="none" w:sz="0" w:space="0" w:color="auto"/>
                                            <w:right w:val="none" w:sz="0" w:space="0" w:color="auto"/>
                                          </w:divBdr>
                                          <w:divsChild>
                                            <w:div w:id="325135204">
                                              <w:marLeft w:val="0"/>
                                              <w:marRight w:val="0"/>
                                              <w:marTop w:val="0"/>
                                              <w:marBottom w:val="0"/>
                                              <w:divBdr>
                                                <w:top w:val="none" w:sz="0" w:space="0" w:color="auto"/>
                                                <w:left w:val="none" w:sz="0" w:space="0" w:color="auto"/>
                                                <w:bottom w:val="none" w:sz="0" w:space="0" w:color="auto"/>
                                                <w:right w:val="none" w:sz="0" w:space="0" w:color="auto"/>
                                              </w:divBdr>
                                              <w:divsChild>
                                                <w:div w:id="698774653">
                                                  <w:marLeft w:val="0"/>
                                                  <w:marRight w:val="0"/>
                                                  <w:marTop w:val="0"/>
                                                  <w:marBottom w:val="0"/>
                                                  <w:divBdr>
                                                    <w:top w:val="none" w:sz="0" w:space="0" w:color="auto"/>
                                                    <w:left w:val="none" w:sz="0" w:space="0" w:color="auto"/>
                                                    <w:bottom w:val="none" w:sz="0" w:space="0" w:color="auto"/>
                                                    <w:right w:val="none" w:sz="0" w:space="0" w:color="auto"/>
                                                  </w:divBdr>
                                                  <w:divsChild>
                                                    <w:div w:id="1350255285">
                                                      <w:marLeft w:val="0"/>
                                                      <w:marRight w:val="0"/>
                                                      <w:marTop w:val="0"/>
                                                      <w:marBottom w:val="0"/>
                                                      <w:divBdr>
                                                        <w:top w:val="none" w:sz="0" w:space="0" w:color="auto"/>
                                                        <w:left w:val="none" w:sz="0" w:space="0" w:color="auto"/>
                                                        <w:bottom w:val="none" w:sz="0" w:space="0" w:color="auto"/>
                                                        <w:right w:val="none" w:sz="0" w:space="0" w:color="auto"/>
                                                      </w:divBdr>
                                                      <w:divsChild>
                                                        <w:div w:id="317732419">
                                                          <w:marLeft w:val="0"/>
                                                          <w:marRight w:val="0"/>
                                                          <w:marTop w:val="0"/>
                                                          <w:marBottom w:val="0"/>
                                                          <w:divBdr>
                                                            <w:top w:val="none" w:sz="0" w:space="0" w:color="auto"/>
                                                            <w:left w:val="none" w:sz="0" w:space="0" w:color="auto"/>
                                                            <w:bottom w:val="none" w:sz="0" w:space="0" w:color="auto"/>
                                                            <w:right w:val="none" w:sz="0" w:space="0" w:color="auto"/>
                                                          </w:divBdr>
                                                          <w:divsChild>
                                                            <w:div w:id="143211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83957720">
      <w:bodyDiv w:val="1"/>
      <w:marLeft w:val="0"/>
      <w:marRight w:val="0"/>
      <w:marTop w:val="0"/>
      <w:marBottom w:val="0"/>
      <w:divBdr>
        <w:top w:val="none" w:sz="0" w:space="0" w:color="auto"/>
        <w:left w:val="none" w:sz="0" w:space="0" w:color="auto"/>
        <w:bottom w:val="none" w:sz="0" w:space="0" w:color="auto"/>
        <w:right w:val="none" w:sz="0" w:space="0" w:color="auto"/>
      </w:divBdr>
    </w:div>
    <w:div w:id="637607010">
      <w:bodyDiv w:val="1"/>
      <w:marLeft w:val="0"/>
      <w:marRight w:val="0"/>
      <w:marTop w:val="0"/>
      <w:marBottom w:val="0"/>
      <w:divBdr>
        <w:top w:val="none" w:sz="0" w:space="0" w:color="auto"/>
        <w:left w:val="none" w:sz="0" w:space="0" w:color="auto"/>
        <w:bottom w:val="none" w:sz="0" w:space="0" w:color="auto"/>
        <w:right w:val="none" w:sz="0" w:space="0" w:color="auto"/>
      </w:divBdr>
    </w:div>
    <w:div w:id="643435746">
      <w:bodyDiv w:val="1"/>
      <w:marLeft w:val="0"/>
      <w:marRight w:val="0"/>
      <w:marTop w:val="0"/>
      <w:marBottom w:val="0"/>
      <w:divBdr>
        <w:top w:val="none" w:sz="0" w:space="0" w:color="auto"/>
        <w:left w:val="none" w:sz="0" w:space="0" w:color="auto"/>
        <w:bottom w:val="none" w:sz="0" w:space="0" w:color="auto"/>
        <w:right w:val="none" w:sz="0" w:space="0" w:color="auto"/>
      </w:divBdr>
    </w:div>
    <w:div w:id="680160465">
      <w:bodyDiv w:val="1"/>
      <w:marLeft w:val="0"/>
      <w:marRight w:val="0"/>
      <w:marTop w:val="0"/>
      <w:marBottom w:val="0"/>
      <w:divBdr>
        <w:top w:val="none" w:sz="0" w:space="0" w:color="auto"/>
        <w:left w:val="none" w:sz="0" w:space="0" w:color="auto"/>
        <w:bottom w:val="none" w:sz="0" w:space="0" w:color="auto"/>
        <w:right w:val="none" w:sz="0" w:space="0" w:color="auto"/>
      </w:divBdr>
    </w:div>
    <w:div w:id="700669744">
      <w:bodyDiv w:val="1"/>
      <w:marLeft w:val="0"/>
      <w:marRight w:val="0"/>
      <w:marTop w:val="0"/>
      <w:marBottom w:val="0"/>
      <w:divBdr>
        <w:top w:val="none" w:sz="0" w:space="0" w:color="auto"/>
        <w:left w:val="none" w:sz="0" w:space="0" w:color="auto"/>
        <w:bottom w:val="none" w:sz="0" w:space="0" w:color="auto"/>
        <w:right w:val="none" w:sz="0" w:space="0" w:color="auto"/>
      </w:divBdr>
    </w:div>
    <w:div w:id="740560979">
      <w:bodyDiv w:val="1"/>
      <w:marLeft w:val="0"/>
      <w:marRight w:val="0"/>
      <w:marTop w:val="0"/>
      <w:marBottom w:val="0"/>
      <w:divBdr>
        <w:top w:val="none" w:sz="0" w:space="0" w:color="auto"/>
        <w:left w:val="none" w:sz="0" w:space="0" w:color="auto"/>
        <w:bottom w:val="none" w:sz="0" w:space="0" w:color="auto"/>
        <w:right w:val="none" w:sz="0" w:space="0" w:color="auto"/>
      </w:divBdr>
      <w:divsChild>
        <w:div w:id="338967883">
          <w:marLeft w:val="274"/>
          <w:marRight w:val="0"/>
          <w:marTop w:val="0"/>
          <w:marBottom w:val="0"/>
          <w:divBdr>
            <w:top w:val="none" w:sz="0" w:space="0" w:color="auto"/>
            <w:left w:val="none" w:sz="0" w:space="0" w:color="auto"/>
            <w:bottom w:val="none" w:sz="0" w:space="0" w:color="auto"/>
            <w:right w:val="none" w:sz="0" w:space="0" w:color="auto"/>
          </w:divBdr>
        </w:div>
        <w:div w:id="352190895">
          <w:marLeft w:val="274"/>
          <w:marRight w:val="0"/>
          <w:marTop w:val="0"/>
          <w:marBottom w:val="0"/>
          <w:divBdr>
            <w:top w:val="none" w:sz="0" w:space="0" w:color="auto"/>
            <w:left w:val="none" w:sz="0" w:space="0" w:color="auto"/>
            <w:bottom w:val="none" w:sz="0" w:space="0" w:color="auto"/>
            <w:right w:val="none" w:sz="0" w:space="0" w:color="auto"/>
          </w:divBdr>
        </w:div>
        <w:div w:id="465972203">
          <w:marLeft w:val="274"/>
          <w:marRight w:val="0"/>
          <w:marTop w:val="0"/>
          <w:marBottom w:val="0"/>
          <w:divBdr>
            <w:top w:val="none" w:sz="0" w:space="0" w:color="auto"/>
            <w:left w:val="none" w:sz="0" w:space="0" w:color="auto"/>
            <w:bottom w:val="none" w:sz="0" w:space="0" w:color="auto"/>
            <w:right w:val="none" w:sz="0" w:space="0" w:color="auto"/>
          </w:divBdr>
        </w:div>
        <w:div w:id="622267419">
          <w:marLeft w:val="274"/>
          <w:marRight w:val="0"/>
          <w:marTop w:val="0"/>
          <w:marBottom w:val="0"/>
          <w:divBdr>
            <w:top w:val="none" w:sz="0" w:space="0" w:color="auto"/>
            <w:left w:val="none" w:sz="0" w:space="0" w:color="auto"/>
            <w:bottom w:val="none" w:sz="0" w:space="0" w:color="auto"/>
            <w:right w:val="none" w:sz="0" w:space="0" w:color="auto"/>
          </w:divBdr>
        </w:div>
        <w:div w:id="1062025672">
          <w:marLeft w:val="274"/>
          <w:marRight w:val="0"/>
          <w:marTop w:val="0"/>
          <w:marBottom w:val="0"/>
          <w:divBdr>
            <w:top w:val="none" w:sz="0" w:space="0" w:color="auto"/>
            <w:left w:val="none" w:sz="0" w:space="0" w:color="auto"/>
            <w:bottom w:val="none" w:sz="0" w:space="0" w:color="auto"/>
            <w:right w:val="none" w:sz="0" w:space="0" w:color="auto"/>
          </w:divBdr>
        </w:div>
        <w:div w:id="1073892715">
          <w:marLeft w:val="274"/>
          <w:marRight w:val="0"/>
          <w:marTop w:val="0"/>
          <w:marBottom w:val="0"/>
          <w:divBdr>
            <w:top w:val="none" w:sz="0" w:space="0" w:color="auto"/>
            <w:left w:val="none" w:sz="0" w:space="0" w:color="auto"/>
            <w:bottom w:val="none" w:sz="0" w:space="0" w:color="auto"/>
            <w:right w:val="none" w:sz="0" w:space="0" w:color="auto"/>
          </w:divBdr>
        </w:div>
        <w:div w:id="1113095422">
          <w:marLeft w:val="274"/>
          <w:marRight w:val="0"/>
          <w:marTop w:val="0"/>
          <w:marBottom w:val="0"/>
          <w:divBdr>
            <w:top w:val="none" w:sz="0" w:space="0" w:color="auto"/>
            <w:left w:val="none" w:sz="0" w:space="0" w:color="auto"/>
            <w:bottom w:val="none" w:sz="0" w:space="0" w:color="auto"/>
            <w:right w:val="none" w:sz="0" w:space="0" w:color="auto"/>
          </w:divBdr>
        </w:div>
        <w:div w:id="1565524469">
          <w:marLeft w:val="274"/>
          <w:marRight w:val="0"/>
          <w:marTop w:val="0"/>
          <w:marBottom w:val="0"/>
          <w:divBdr>
            <w:top w:val="none" w:sz="0" w:space="0" w:color="auto"/>
            <w:left w:val="none" w:sz="0" w:space="0" w:color="auto"/>
            <w:bottom w:val="none" w:sz="0" w:space="0" w:color="auto"/>
            <w:right w:val="none" w:sz="0" w:space="0" w:color="auto"/>
          </w:divBdr>
        </w:div>
        <w:div w:id="1584610256">
          <w:marLeft w:val="274"/>
          <w:marRight w:val="0"/>
          <w:marTop w:val="0"/>
          <w:marBottom w:val="0"/>
          <w:divBdr>
            <w:top w:val="none" w:sz="0" w:space="0" w:color="auto"/>
            <w:left w:val="none" w:sz="0" w:space="0" w:color="auto"/>
            <w:bottom w:val="none" w:sz="0" w:space="0" w:color="auto"/>
            <w:right w:val="none" w:sz="0" w:space="0" w:color="auto"/>
          </w:divBdr>
        </w:div>
        <w:div w:id="2071070873">
          <w:marLeft w:val="274"/>
          <w:marRight w:val="0"/>
          <w:marTop w:val="0"/>
          <w:marBottom w:val="0"/>
          <w:divBdr>
            <w:top w:val="none" w:sz="0" w:space="0" w:color="auto"/>
            <w:left w:val="none" w:sz="0" w:space="0" w:color="auto"/>
            <w:bottom w:val="none" w:sz="0" w:space="0" w:color="auto"/>
            <w:right w:val="none" w:sz="0" w:space="0" w:color="auto"/>
          </w:divBdr>
        </w:div>
      </w:divsChild>
    </w:div>
    <w:div w:id="761603546">
      <w:bodyDiv w:val="1"/>
      <w:marLeft w:val="0"/>
      <w:marRight w:val="0"/>
      <w:marTop w:val="0"/>
      <w:marBottom w:val="0"/>
      <w:divBdr>
        <w:top w:val="none" w:sz="0" w:space="0" w:color="auto"/>
        <w:left w:val="none" w:sz="0" w:space="0" w:color="auto"/>
        <w:bottom w:val="none" w:sz="0" w:space="0" w:color="auto"/>
        <w:right w:val="none" w:sz="0" w:space="0" w:color="auto"/>
      </w:divBdr>
    </w:div>
    <w:div w:id="768088578">
      <w:bodyDiv w:val="1"/>
      <w:marLeft w:val="0"/>
      <w:marRight w:val="0"/>
      <w:marTop w:val="0"/>
      <w:marBottom w:val="0"/>
      <w:divBdr>
        <w:top w:val="none" w:sz="0" w:space="0" w:color="auto"/>
        <w:left w:val="none" w:sz="0" w:space="0" w:color="auto"/>
        <w:bottom w:val="none" w:sz="0" w:space="0" w:color="auto"/>
        <w:right w:val="none" w:sz="0" w:space="0" w:color="auto"/>
      </w:divBdr>
    </w:div>
    <w:div w:id="787313028">
      <w:bodyDiv w:val="1"/>
      <w:marLeft w:val="0"/>
      <w:marRight w:val="0"/>
      <w:marTop w:val="0"/>
      <w:marBottom w:val="0"/>
      <w:divBdr>
        <w:top w:val="none" w:sz="0" w:space="0" w:color="auto"/>
        <w:left w:val="none" w:sz="0" w:space="0" w:color="auto"/>
        <w:bottom w:val="none" w:sz="0" w:space="0" w:color="auto"/>
        <w:right w:val="none" w:sz="0" w:space="0" w:color="auto"/>
      </w:divBdr>
    </w:div>
    <w:div w:id="810248726">
      <w:bodyDiv w:val="1"/>
      <w:marLeft w:val="0"/>
      <w:marRight w:val="0"/>
      <w:marTop w:val="0"/>
      <w:marBottom w:val="0"/>
      <w:divBdr>
        <w:top w:val="none" w:sz="0" w:space="0" w:color="auto"/>
        <w:left w:val="none" w:sz="0" w:space="0" w:color="auto"/>
        <w:bottom w:val="none" w:sz="0" w:space="0" w:color="auto"/>
        <w:right w:val="none" w:sz="0" w:space="0" w:color="auto"/>
      </w:divBdr>
    </w:div>
    <w:div w:id="830754242">
      <w:bodyDiv w:val="1"/>
      <w:marLeft w:val="0"/>
      <w:marRight w:val="0"/>
      <w:marTop w:val="0"/>
      <w:marBottom w:val="0"/>
      <w:divBdr>
        <w:top w:val="none" w:sz="0" w:space="0" w:color="auto"/>
        <w:left w:val="none" w:sz="0" w:space="0" w:color="auto"/>
        <w:bottom w:val="none" w:sz="0" w:space="0" w:color="auto"/>
        <w:right w:val="none" w:sz="0" w:space="0" w:color="auto"/>
      </w:divBdr>
    </w:div>
    <w:div w:id="863177105">
      <w:bodyDiv w:val="1"/>
      <w:marLeft w:val="0"/>
      <w:marRight w:val="0"/>
      <w:marTop w:val="0"/>
      <w:marBottom w:val="0"/>
      <w:divBdr>
        <w:top w:val="none" w:sz="0" w:space="0" w:color="auto"/>
        <w:left w:val="none" w:sz="0" w:space="0" w:color="auto"/>
        <w:bottom w:val="none" w:sz="0" w:space="0" w:color="auto"/>
        <w:right w:val="none" w:sz="0" w:space="0" w:color="auto"/>
      </w:divBdr>
    </w:div>
    <w:div w:id="870532811">
      <w:bodyDiv w:val="1"/>
      <w:marLeft w:val="0"/>
      <w:marRight w:val="0"/>
      <w:marTop w:val="0"/>
      <w:marBottom w:val="0"/>
      <w:divBdr>
        <w:top w:val="none" w:sz="0" w:space="0" w:color="auto"/>
        <w:left w:val="none" w:sz="0" w:space="0" w:color="auto"/>
        <w:bottom w:val="none" w:sz="0" w:space="0" w:color="auto"/>
        <w:right w:val="none" w:sz="0" w:space="0" w:color="auto"/>
      </w:divBdr>
      <w:divsChild>
        <w:div w:id="553274975">
          <w:marLeft w:val="0"/>
          <w:marRight w:val="0"/>
          <w:marTop w:val="0"/>
          <w:marBottom w:val="0"/>
          <w:divBdr>
            <w:top w:val="none" w:sz="0" w:space="0" w:color="auto"/>
            <w:left w:val="none" w:sz="0" w:space="0" w:color="auto"/>
            <w:bottom w:val="none" w:sz="0" w:space="0" w:color="auto"/>
            <w:right w:val="none" w:sz="0" w:space="0" w:color="auto"/>
          </w:divBdr>
          <w:divsChild>
            <w:div w:id="1785155183">
              <w:marLeft w:val="0"/>
              <w:marRight w:val="0"/>
              <w:marTop w:val="0"/>
              <w:marBottom w:val="0"/>
              <w:divBdr>
                <w:top w:val="none" w:sz="0" w:space="0" w:color="auto"/>
                <w:left w:val="none" w:sz="0" w:space="0" w:color="auto"/>
                <w:bottom w:val="none" w:sz="0" w:space="0" w:color="auto"/>
                <w:right w:val="none" w:sz="0" w:space="0" w:color="auto"/>
              </w:divBdr>
              <w:divsChild>
                <w:div w:id="547231812">
                  <w:marLeft w:val="0"/>
                  <w:marRight w:val="0"/>
                  <w:marTop w:val="0"/>
                  <w:marBottom w:val="0"/>
                  <w:divBdr>
                    <w:top w:val="none" w:sz="0" w:space="0" w:color="auto"/>
                    <w:left w:val="none" w:sz="0" w:space="0" w:color="auto"/>
                    <w:bottom w:val="none" w:sz="0" w:space="0" w:color="auto"/>
                    <w:right w:val="none" w:sz="0" w:space="0" w:color="auto"/>
                  </w:divBdr>
                  <w:divsChild>
                    <w:div w:id="1245994658">
                      <w:marLeft w:val="0"/>
                      <w:marRight w:val="0"/>
                      <w:marTop w:val="0"/>
                      <w:marBottom w:val="0"/>
                      <w:divBdr>
                        <w:top w:val="none" w:sz="0" w:space="0" w:color="auto"/>
                        <w:left w:val="none" w:sz="0" w:space="0" w:color="auto"/>
                        <w:bottom w:val="none" w:sz="0" w:space="0" w:color="auto"/>
                        <w:right w:val="none" w:sz="0" w:space="0" w:color="auto"/>
                      </w:divBdr>
                      <w:divsChild>
                        <w:div w:id="2129004833">
                          <w:marLeft w:val="0"/>
                          <w:marRight w:val="0"/>
                          <w:marTop w:val="0"/>
                          <w:marBottom w:val="0"/>
                          <w:divBdr>
                            <w:top w:val="none" w:sz="0" w:space="0" w:color="auto"/>
                            <w:left w:val="none" w:sz="0" w:space="0" w:color="auto"/>
                            <w:bottom w:val="none" w:sz="0" w:space="0" w:color="auto"/>
                            <w:right w:val="none" w:sz="0" w:space="0" w:color="auto"/>
                          </w:divBdr>
                          <w:divsChild>
                            <w:div w:id="780995288">
                              <w:marLeft w:val="0"/>
                              <w:marRight w:val="0"/>
                              <w:marTop w:val="0"/>
                              <w:marBottom w:val="0"/>
                              <w:divBdr>
                                <w:top w:val="none" w:sz="0" w:space="0" w:color="auto"/>
                                <w:left w:val="none" w:sz="0" w:space="0" w:color="auto"/>
                                <w:bottom w:val="none" w:sz="0" w:space="0" w:color="auto"/>
                                <w:right w:val="none" w:sz="0" w:space="0" w:color="auto"/>
                              </w:divBdr>
                              <w:divsChild>
                                <w:div w:id="479466555">
                                  <w:marLeft w:val="0"/>
                                  <w:marRight w:val="0"/>
                                  <w:marTop w:val="0"/>
                                  <w:marBottom w:val="0"/>
                                  <w:divBdr>
                                    <w:top w:val="none" w:sz="0" w:space="0" w:color="auto"/>
                                    <w:left w:val="none" w:sz="0" w:space="0" w:color="auto"/>
                                    <w:bottom w:val="none" w:sz="0" w:space="0" w:color="auto"/>
                                    <w:right w:val="none" w:sz="0" w:space="0" w:color="auto"/>
                                  </w:divBdr>
                                  <w:divsChild>
                                    <w:div w:id="210194091">
                                      <w:marLeft w:val="0"/>
                                      <w:marRight w:val="0"/>
                                      <w:marTop w:val="0"/>
                                      <w:marBottom w:val="0"/>
                                      <w:divBdr>
                                        <w:top w:val="none" w:sz="0" w:space="0" w:color="auto"/>
                                        <w:left w:val="none" w:sz="0" w:space="0" w:color="auto"/>
                                        <w:bottom w:val="none" w:sz="0" w:space="0" w:color="auto"/>
                                        <w:right w:val="none" w:sz="0" w:space="0" w:color="auto"/>
                                      </w:divBdr>
                                      <w:divsChild>
                                        <w:div w:id="1210995401">
                                          <w:marLeft w:val="0"/>
                                          <w:marRight w:val="0"/>
                                          <w:marTop w:val="0"/>
                                          <w:marBottom w:val="0"/>
                                          <w:divBdr>
                                            <w:top w:val="none" w:sz="0" w:space="0" w:color="auto"/>
                                            <w:left w:val="none" w:sz="0" w:space="0" w:color="auto"/>
                                            <w:bottom w:val="none" w:sz="0" w:space="0" w:color="auto"/>
                                            <w:right w:val="none" w:sz="0" w:space="0" w:color="auto"/>
                                          </w:divBdr>
                                          <w:divsChild>
                                            <w:div w:id="552544457">
                                              <w:marLeft w:val="0"/>
                                              <w:marRight w:val="0"/>
                                              <w:marTop w:val="0"/>
                                              <w:marBottom w:val="0"/>
                                              <w:divBdr>
                                                <w:top w:val="none" w:sz="0" w:space="0" w:color="auto"/>
                                                <w:left w:val="none" w:sz="0" w:space="0" w:color="auto"/>
                                                <w:bottom w:val="none" w:sz="0" w:space="0" w:color="auto"/>
                                                <w:right w:val="none" w:sz="0" w:space="0" w:color="auto"/>
                                              </w:divBdr>
                                              <w:divsChild>
                                                <w:div w:id="215163800">
                                                  <w:marLeft w:val="0"/>
                                                  <w:marRight w:val="0"/>
                                                  <w:marTop w:val="0"/>
                                                  <w:marBottom w:val="0"/>
                                                  <w:divBdr>
                                                    <w:top w:val="none" w:sz="0" w:space="0" w:color="auto"/>
                                                    <w:left w:val="none" w:sz="0" w:space="0" w:color="auto"/>
                                                    <w:bottom w:val="none" w:sz="0" w:space="0" w:color="auto"/>
                                                    <w:right w:val="none" w:sz="0" w:space="0" w:color="auto"/>
                                                  </w:divBdr>
                                                  <w:divsChild>
                                                    <w:div w:id="1961183404">
                                                      <w:marLeft w:val="0"/>
                                                      <w:marRight w:val="0"/>
                                                      <w:marTop w:val="0"/>
                                                      <w:marBottom w:val="0"/>
                                                      <w:divBdr>
                                                        <w:top w:val="none" w:sz="0" w:space="0" w:color="auto"/>
                                                        <w:left w:val="none" w:sz="0" w:space="0" w:color="auto"/>
                                                        <w:bottom w:val="none" w:sz="0" w:space="0" w:color="auto"/>
                                                        <w:right w:val="none" w:sz="0" w:space="0" w:color="auto"/>
                                                      </w:divBdr>
                                                      <w:divsChild>
                                                        <w:div w:id="1391610705">
                                                          <w:marLeft w:val="0"/>
                                                          <w:marRight w:val="0"/>
                                                          <w:marTop w:val="0"/>
                                                          <w:marBottom w:val="0"/>
                                                          <w:divBdr>
                                                            <w:top w:val="none" w:sz="0" w:space="0" w:color="auto"/>
                                                            <w:left w:val="none" w:sz="0" w:space="0" w:color="auto"/>
                                                            <w:bottom w:val="none" w:sz="0" w:space="0" w:color="auto"/>
                                                            <w:right w:val="none" w:sz="0" w:space="0" w:color="auto"/>
                                                          </w:divBdr>
                                                          <w:divsChild>
                                                            <w:div w:id="210430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92540141">
      <w:bodyDiv w:val="1"/>
      <w:marLeft w:val="0"/>
      <w:marRight w:val="0"/>
      <w:marTop w:val="0"/>
      <w:marBottom w:val="0"/>
      <w:divBdr>
        <w:top w:val="none" w:sz="0" w:space="0" w:color="auto"/>
        <w:left w:val="none" w:sz="0" w:space="0" w:color="auto"/>
        <w:bottom w:val="none" w:sz="0" w:space="0" w:color="auto"/>
        <w:right w:val="none" w:sz="0" w:space="0" w:color="auto"/>
      </w:divBdr>
    </w:div>
    <w:div w:id="919026118">
      <w:bodyDiv w:val="1"/>
      <w:marLeft w:val="0"/>
      <w:marRight w:val="0"/>
      <w:marTop w:val="0"/>
      <w:marBottom w:val="0"/>
      <w:divBdr>
        <w:top w:val="none" w:sz="0" w:space="0" w:color="auto"/>
        <w:left w:val="none" w:sz="0" w:space="0" w:color="auto"/>
        <w:bottom w:val="none" w:sz="0" w:space="0" w:color="auto"/>
        <w:right w:val="none" w:sz="0" w:space="0" w:color="auto"/>
      </w:divBdr>
    </w:div>
    <w:div w:id="922958097">
      <w:bodyDiv w:val="1"/>
      <w:marLeft w:val="0"/>
      <w:marRight w:val="0"/>
      <w:marTop w:val="0"/>
      <w:marBottom w:val="0"/>
      <w:divBdr>
        <w:top w:val="none" w:sz="0" w:space="0" w:color="auto"/>
        <w:left w:val="none" w:sz="0" w:space="0" w:color="auto"/>
        <w:bottom w:val="none" w:sz="0" w:space="0" w:color="auto"/>
        <w:right w:val="none" w:sz="0" w:space="0" w:color="auto"/>
      </w:divBdr>
    </w:div>
    <w:div w:id="931858164">
      <w:bodyDiv w:val="1"/>
      <w:marLeft w:val="0"/>
      <w:marRight w:val="0"/>
      <w:marTop w:val="0"/>
      <w:marBottom w:val="0"/>
      <w:divBdr>
        <w:top w:val="none" w:sz="0" w:space="0" w:color="auto"/>
        <w:left w:val="none" w:sz="0" w:space="0" w:color="auto"/>
        <w:bottom w:val="none" w:sz="0" w:space="0" w:color="auto"/>
        <w:right w:val="none" w:sz="0" w:space="0" w:color="auto"/>
      </w:divBdr>
    </w:div>
    <w:div w:id="967973181">
      <w:bodyDiv w:val="1"/>
      <w:marLeft w:val="0"/>
      <w:marRight w:val="0"/>
      <w:marTop w:val="0"/>
      <w:marBottom w:val="0"/>
      <w:divBdr>
        <w:top w:val="none" w:sz="0" w:space="0" w:color="auto"/>
        <w:left w:val="none" w:sz="0" w:space="0" w:color="auto"/>
        <w:bottom w:val="none" w:sz="0" w:space="0" w:color="auto"/>
        <w:right w:val="none" w:sz="0" w:space="0" w:color="auto"/>
      </w:divBdr>
    </w:div>
    <w:div w:id="1011298048">
      <w:bodyDiv w:val="1"/>
      <w:marLeft w:val="0"/>
      <w:marRight w:val="0"/>
      <w:marTop w:val="0"/>
      <w:marBottom w:val="0"/>
      <w:divBdr>
        <w:top w:val="none" w:sz="0" w:space="0" w:color="auto"/>
        <w:left w:val="none" w:sz="0" w:space="0" w:color="auto"/>
        <w:bottom w:val="none" w:sz="0" w:space="0" w:color="auto"/>
        <w:right w:val="none" w:sz="0" w:space="0" w:color="auto"/>
      </w:divBdr>
      <w:divsChild>
        <w:div w:id="95904646">
          <w:marLeft w:val="0"/>
          <w:marRight w:val="0"/>
          <w:marTop w:val="0"/>
          <w:marBottom w:val="0"/>
          <w:divBdr>
            <w:top w:val="none" w:sz="0" w:space="0" w:color="auto"/>
            <w:left w:val="none" w:sz="0" w:space="0" w:color="auto"/>
            <w:bottom w:val="none" w:sz="0" w:space="0" w:color="auto"/>
            <w:right w:val="none" w:sz="0" w:space="0" w:color="auto"/>
          </w:divBdr>
          <w:divsChild>
            <w:div w:id="507062158">
              <w:marLeft w:val="0"/>
              <w:marRight w:val="0"/>
              <w:marTop w:val="0"/>
              <w:marBottom w:val="0"/>
              <w:divBdr>
                <w:top w:val="none" w:sz="0" w:space="0" w:color="auto"/>
                <w:left w:val="none" w:sz="0" w:space="0" w:color="auto"/>
                <w:bottom w:val="none" w:sz="0" w:space="0" w:color="auto"/>
                <w:right w:val="none" w:sz="0" w:space="0" w:color="auto"/>
              </w:divBdr>
              <w:divsChild>
                <w:div w:id="1332562109">
                  <w:marLeft w:val="0"/>
                  <w:marRight w:val="0"/>
                  <w:marTop w:val="0"/>
                  <w:marBottom w:val="0"/>
                  <w:divBdr>
                    <w:top w:val="none" w:sz="0" w:space="0" w:color="auto"/>
                    <w:left w:val="none" w:sz="0" w:space="0" w:color="auto"/>
                    <w:bottom w:val="none" w:sz="0" w:space="0" w:color="auto"/>
                    <w:right w:val="none" w:sz="0" w:space="0" w:color="auto"/>
                  </w:divBdr>
                  <w:divsChild>
                    <w:div w:id="45417097">
                      <w:marLeft w:val="0"/>
                      <w:marRight w:val="0"/>
                      <w:marTop w:val="0"/>
                      <w:marBottom w:val="0"/>
                      <w:divBdr>
                        <w:top w:val="none" w:sz="0" w:space="0" w:color="auto"/>
                        <w:left w:val="none" w:sz="0" w:space="0" w:color="auto"/>
                        <w:bottom w:val="none" w:sz="0" w:space="0" w:color="auto"/>
                        <w:right w:val="none" w:sz="0" w:space="0" w:color="auto"/>
                      </w:divBdr>
                      <w:divsChild>
                        <w:div w:id="1200901873">
                          <w:marLeft w:val="0"/>
                          <w:marRight w:val="0"/>
                          <w:marTop w:val="0"/>
                          <w:marBottom w:val="0"/>
                          <w:divBdr>
                            <w:top w:val="none" w:sz="0" w:space="0" w:color="auto"/>
                            <w:left w:val="none" w:sz="0" w:space="0" w:color="auto"/>
                            <w:bottom w:val="none" w:sz="0" w:space="0" w:color="auto"/>
                            <w:right w:val="none" w:sz="0" w:space="0" w:color="auto"/>
                          </w:divBdr>
                          <w:divsChild>
                            <w:div w:id="1446389791">
                              <w:marLeft w:val="0"/>
                              <w:marRight w:val="0"/>
                              <w:marTop w:val="0"/>
                              <w:marBottom w:val="0"/>
                              <w:divBdr>
                                <w:top w:val="none" w:sz="0" w:space="0" w:color="auto"/>
                                <w:left w:val="none" w:sz="0" w:space="0" w:color="auto"/>
                                <w:bottom w:val="none" w:sz="0" w:space="0" w:color="auto"/>
                                <w:right w:val="none" w:sz="0" w:space="0" w:color="auto"/>
                              </w:divBdr>
                              <w:divsChild>
                                <w:div w:id="1400519313">
                                  <w:marLeft w:val="0"/>
                                  <w:marRight w:val="0"/>
                                  <w:marTop w:val="0"/>
                                  <w:marBottom w:val="0"/>
                                  <w:divBdr>
                                    <w:top w:val="none" w:sz="0" w:space="0" w:color="auto"/>
                                    <w:left w:val="none" w:sz="0" w:space="0" w:color="auto"/>
                                    <w:bottom w:val="none" w:sz="0" w:space="0" w:color="auto"/>
                                    <w:right w:val="none" w:sz="0" w:space="0" w:color="auto"/>
                                  </w:divBdr>
                                  <w:divsChild>
                                    <w:div w:id="35666433">
                                      <w:marLeft w:val="0"/>
                                      <w:marRight w:val="0"/>
                                      <w:marTop w:val="0"/>
                                      <w:marBottom w:val="0"/>
                                      <w:divBdr>
                                        <w:top w:val="none" w:sz="0" w:space="0" w:color="auto"/>
                                        <w:left w:val="none" w:sz="0" w:space="0" w:color="auto"/>
                                        <w:bottom w:val="none" w:sz="0" w:space="0" w:color="auto"/>
                                        <w:right w:val="none" w:sz="0" w:space="0" w:color="auto"/>
                                      </w:divBdr>
                                      <w:divsChild>
                                        <w:div w:id="1179125257">
                                          <w:marLeft w:val="0"/>
                                          <w:marRight w:val="0"/>
                                          <w:marTop w:val="0"/>
                                          <w:marBottom w:val="0"/>
                                          <w:divBdr>
                                            <w:top w:val="none" w:sz="0" w:space="0" w:color="auto"/>
                                            <w:left w:val="none" w:sz="0" w:space="0" w:color="auto"/>
                                            <w:bottom w:val="none" w:sz="0" w:space="0" w:color="auto"/>
                                            <w:right w:val="none" w:sz="0" w:space="0" w:color="auto"/>
                                          </w:divBdr>
                                          <w:divsChild>
                                            <w:div w:id="1942451176">
                                              <w:marLeft w:val="0"/>
                                              <w:marRight w:val="0"/>
                                              <w:marTop w:val="0"/>
                                              <w:marBottom w:val="0"/>
                                              <w:divBdr>
                                                <w:top w:val="none" w:sz="0" w:space="0" w:color="auto"/>
                                                <w:left w:val="none" w:sz="0" w:space="0" w:color="auto"/>
                                                <w:bottom w:val="none" w:sz="0" w:space="0" w:color="auto"/>
                                                <w:right w:val="none" w:sz="0" w:space="0" w:color="auto"/>
                                              </w:divBdr>
                                              <w:divsChild>
                                                <w:div w:id="167182669">
                                                  <w:marLeft w:val="0"/>
                                                  <w:marRight w:val="0"/>
                                                  <w:marTop w:val="0"/>
                                                  <w:marBottom w:val="0"/>
                                                  <w:divBdr>
                                                    <w:top w:val="none" w:sz="0" w:space="0" w:color="auto"/>
                                                    <w:left w:val="none" w:sz="0" w:space="0" w:color="auto"/>
                                                    <w:bottom w:val="none" w:sz="0" w:space="0" w:color="auto"/>
                                                    <w:right w:val="none" w:sz="0" w:space="0" w:color="auto"/>
                                                  </w:divBdr>
                                                  <w:divsChild>
                                                    <w:div w:id="1279679324">
                                                      <w:marLeft w:val="0"/>
                                                      <w:marRight w:val="0"/>
                                                      <w:marTop w:val="0"/>
                                                      <w:marBottom w:val="0"/>
                                                      <w:divBdr>
                                                        <w:top w:val="none" w:sz="0" w:space="0" w:color="auto"/>
                                                        <w:left w:val="none" w:sz="0" w:space="0" w:color="auto"/>
                                                        <w:bottom w:val="none" w:sz="0" w:space="0" w:color="auto"/>
                                                        <w:right w:val="none" w:sz="0" w:space="0" w:color="auto"/>
                                                      </w:divBdr>
                                                      <w:divsChild>
                                                        <w:div w:id="958879802">
                                                          <w:marLeft w:val="0"/>
                                                          <w:marRight w:val="0"/>
                                                          <w:marTop w:val="0"/>
                                                          <w:marBottom w:val="0"/>
                                                          <w:divBdr>
                                                            <w:top w:val="none" w:sz="0" w:space="0" w:color="auto"/>
                                                            <w:left w:val="none" w:sz="0" w:space="0" w:color="auto"/>
                                                            <w:bottom w:val="none" w:sz="0" w:space="0" w:color="auto"/>
                                                            <w:right w:val="none" w:sz="0" w:space="0" w:color="auto"/>
                                                          </w:divBdr>
                                                          <w:divsChild>
                                                            <w:div w:id="64018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50694167">
      <w:bodyDiv w:val="1"/>
      <w:marLeft w:val="0"/>
      <w:marRight w:val="0"/>
      <w:marTop w:val="0"/>
      <w:marBottom w:val="0"/>
      <w:divBdr>
        <w:top w:val="none" w:sz="0" w:space="0" w:color="auto"/>
        <w:left w:val="none" w:sz="0" w:space="0" w:color="auto"/>
        <w:bottom w:val="none" w:sz="0" w:space="0" w:color="auto"/>
        <w:right w:val="none" w:sz="0" w:space="0" w:color="auto"/>
      </w:divBdr>
    </w:div>
    <w:div w:id="1052851181">
      <w:bodyDiv w:val="1"/>
      <w:marLeft w:val="0"/>
      <w:marRight w:val="0"/>
      <w:marTop w:val="0"/>
      <w:marBottom w:val="0"/>
      <w:divBdr>
        <w:top w:val="none" w:sz="0" w:space="0" w:color="auto"/>
        <w:left w:val="none" w:sz="0" w:space="0" w:color="auto"/>
        <w:bottom w:val="none" w:sz="0" w:space="0" w:color="auto"/>
        <w:right w:val="none" w:sz="0" w:space="0" w:color="auto"/>
      </w:divBdr>
      <w:divsChild>
        <w:div w:id="888763452">
          <w:marLeft w:val="0"/>
          <w:marRight w:val="0"/>
          <w:marTop w:val="0"/>
          <w:marBottom w:val="0"/>
          <w:divBdr>
            <w:top w:val="none" w:sz="0" w:space="0" w:color="auto"/>
            <w:left w:val="none" w:sz="0" w:space="0" w:color="auto"/>
            <w:bottom w:val="none" w:sz="0" w:space="0" w:color="auto"/>
            <w:right w:val="none" w:sz="0" w:space="0" w:color="auto"/>
          </w:divBdr>
          <w:divsChild>
            <w:div w:id="556665768">
              <w:marLeft w:val="0"/>
              <w:marRight w:val="0"/>
              <w:marTop w:val="0"/>
              <w:marBottom w:val="0"/>
              <w:divBdr>
                <w:top w:val="none" w:sz="0" w:space="0" w:color="auto"/>
                <w:left w:val="none" w:sz="0" w:space="0" w:color="auto"/>
                <w:bottom w:val="none" w:sz="0" w:space="0" w:color="auto"/>
                <w:right w:val="none" w:sz="0" w:space="0" w:color="auto"/>
              </w:divBdr>
              <w:divsChild>
                <w:div w:id="1541699697">
                  <w:marLeft w:val="0"/>
                  <w:marRight w:val="0"/>
                  <w:marTop w:val="0"/>
                  <w:marBottom w:val="0"/>
                  <w:divBdr>
                    <w:top w:val="none" w:sz="0" w:space="0" w:color="auto"/>
                    <w:left w:val="none" w:sz="0" w:space="0" w:color="auto"/>
                    <w:bottom w:val="none" w:sz="0" w:space="0" w:color="auto"/>
                    <w:right w:val="none" w:sz="0" w:space="0" w:color="auto"/>
                  </w:divBdr>
                  <w:divsChild>
                    <w:div w:id="44106317">
                      <w:marLeft w:val="0"/>
                      <w:marRight w:val="0"/>
                      <w:marTop w:val="0"/>
                      <w:marBottom w:val="0"/>
                      <w:divBdr>
                        <w:top w:val="none" w:sz="0" w:space="0" w:color="auto"/>
                        <w:left w:val="none" w:sz="0" w:space="0" w:color="auto"/>
                        <w:bottom w:val="none" w:sz="0" w:space="0" w:color="auto"/>
                        <w:right w:val="none" w:sz="0" w:space="0" w:color="auto"/>
                      </w:divBdr>
                      <w:divsChild>
                        <w:div w:id="852918074">
                          <w:marLeft w:val="0"/>
                          <w:marRight w:val="0"/>
                          <w:marTop w:val="0"/>
                          <w:marBottom w:val="0"/>
                          <w:divBdr>
                            <w:top w:val="none" w:sz="0" w:space="0" w:color="auto"/>
                            <w:left w:val="none" w:sz="0" w:space="0" w:color="auto"/>
                            <w:bottom w:val="none" w:sz="0" w:space="0" w:color="auto"/>
                            <w:right w:val="none" w:sz="0" w:space="0" w:color="auto"/>
                          </w:divBdr>
                          <w:divsChild>
                            <w:div w:id="567615535">
                              <w:marLeft w:val="0"/>
                              <w:marRight w:val="0"/>
                              <w:marTop w:val="0"/>
                              <w:marBottom w:val="0"/>
                              <w:divBdr>
                                <w:top w:val="none" w:sz="0" w:space="0" w:color="auto"/>
                                <w:left w:val="none" w:sz="0" w:space="0" w:color="auto"/>
                                <w:bottom w:val="none" w:sz="0" w:space="0" w:color="auto"/>
                                <w:right w:val="none" w:sz="0" w:space="0" w:color="auto"/>
                              </w:divBdr>
                              <w:divsChild>
                                <w:div w:id="677272346">
                                  <w:marLeft w:val="0"/>
                                  <w:marRight w:val="0"/>
                                  <w:marTop w:val="0"/>
                                  <w:marBottom w:val="0"/>
                                  <w:divBdr>
                                    <w:top w:val="none" w:sz="0" w:space="0" w:color="auto"/>
                                    <w:left w:val="none" w:sz="0" w:space="0" w:color="auto"/>
                                    <w:bottom w:val="none" w:sz="0" w:space="0" w:color="auto"/>
                                    <w:right w:val="none" w:sz="0" w:space="0" w:color="auto"/>
                                  </w:divBdr>
                                  <w:divsChild>
                                    <w:div w:id="1533302624">
                                      <w:marLeft w:val="0"/>
                                      <w:marRight w:val="0"/>
                                      <w:marTop w:val="0"/>
                                      <w:marBottom w:val="0"/>
                                      <w:divBdr>
                                        <w:top w:val="none" w:sz="0" w:space="0" w:color="auto"/>
                                        <w:left w:val="none" w:sz="0" w:space="0" w:color="auto"/>
                                        <w:bottom w:val="none" w:sz="0" w:space="0" w:color="auto"/>
                                        <w:right w:val="none" w:sz="0" w:space="0" w:color="auto"/>
                                      </w:divBdr>
                                      <w:divsChild>
                                        <w:div w:id="256447985">
                                          <w:marLeft w:val="0"/>
                                          <w:marRight w:val="0"/>
                                          <w:marTop w:val="0"/>
                                          <w:marBottom w:val="0"/>
                                          <w:divBdr>
                                            <w:top w:val="none" w:sz="0" w:space="0" w:color="auto"/>
                                            <w:left w:val="none" w:sz="0" w:space="0" w:color="auto"/>
                                            <w:bottom w:val="none" w:sz="0" w:space="0" w:color="auto"/>
                                            <w:right w:val="none" w:sz="0" w:space="0" w:color="auto"/>
                                          </w:divBdr>
                                          <w:divsChild>
                                            <w:div w:id="1320118386">
                                              <w:marLeft w:val="0"/>
                                              <w:marRight w:val="0"/>
                                              <w:marTop w:val="0"/>
                                              <w:marBottom w:val="0"/>
                                              <w:divBdr>
                                                <w:top w:val="none" w:sz="0" w:space="0" w:color="auto"/>
                                                <w:left w:val="none" w:sz="0" w:space="0" w:color="auto"/>
                                                <w:bottom w:val="none" w:sz="0" w:space="0" w:color="auto"/>
                                                <w:right w:val="none" w:sz="0" w:space="0" w:color="auto"/>
                                              </w:divBdr>
                                              <w:divsChild>
                                                <w:div w:id="1837652059">
                                                  <w:marLeft w:val="0"/>
                                                  <w:marRight w:val="0"/>
                                                  <w:marTop w:val="0"/>
                                                  <w:marBottom w:val="0"/>
                                                  <w:divBdr>
                                                    <w:top w:val="none" w:sz="0" w:space="0" w:color="auto"/>
                                                    <w:left w:val="none" w:sz="0" w:space="0" w:color="auto"/>
                                                    <w:bottom w:val="none" w:sz="0" w:space="0" w:color="auto"/>
                                                    <w:right w:val="none" w:sz="0" w:space="0" w:color="auto"/>
                                                  </w:divBdr>
                                                  <w:divsChild>
                                                    <w:div w:id="1139147615">
                                                      <w:marLeft w:val="0"/>
                                                      <w:marRight w:val="0"/>
                                                      <w:marTop w:val="0"/>
                                                      <w:marBottom w:val="0"/>
                                                      <w:divBdr>
                                                        <w:top w:val="none" w:sz="0" w:space="0" w:color="auto"/>
                                                        <w:left w:val="none" w:sz="0" w:space="0" w:color="auto"/>
                                                        <w:bottom w:val="none" w:sz="0" w:space="0" w:color="auto"/>
                                                        <w:right w:val="none" w:sz="0" w:space="0" w:color="auto"/>
                                                      </w:divBdr>
                                                      <w:divsChild>
                                                        <w:div w:id="915087527">
                                                          <w:marLeft w:val="0"/>
                                                          <w:marRight w:val="0"/>
                                                          <w:marTop w:val="0"/>
                                                          <w:marBottom w:val="0"/>
                                                          <w:divBdr>
                                                            <w:top w:val="none" w:sz="0" w:space="0" w:color="auto"/>
                                                            <w:left w:val="none" w:sz="0" w:space="0" w:color="auto"/>
                                                            <w:bottom w:val="none" w:sz="0" w:space="0" w:color="auto"/>
                                                            <w:right w:val="none" w:sz="0" w:space="0" w:color="auto"/>
                                                          </w:divBdr>
                                                          <w:divsChild>
                                                            <w:div w:id="161995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05727821">
      <w:bodyDiv w:val="1"/>
      <w:marLeft w:val="0"/>
      <w:marRight w:val="0"/>
      <w:marTop w:val="0"/>
      <w:marBottom w:val="0"/>
      <w:divBdr>
        <w:top w:val="none" w:sz="0" w:space="0" w:color="auto"/>
        <w:left w:val="none" w:sz="0" w:space="0" w:color="auto"/>
        <w:bottom w:val="none" w:sz="0" w:space="0" w:color="auto"/>
        <w:right w:val="none" w:sz="0" w:space="0" w:color="auto"/>
      </w:divBdr>
    </w:div>
    <w:div w:id="1140463335">
      <w:bodyDiv w:val="1"/>
      <w:marLeft w:val="0"/>
      <w:marRight w:val="0"/>
      <w:marTop w:val="0"/>
      <w:marBottom w:val="0"/>
      <w:divBdr>
        <w:top w:val="none" w:sz="0" w:space="0" w:color="auto"/>
        <w:left w:val="none" w:sz="0" w:space="0" w:color="auto"/>
        <w:bottom w:val="none" w:sz="0" w:space="0" w:color="auto"/>
        <w:right w:val="none" w:sz="0" w:space="0" w:color="auto"/>
      </w:divBdr>
    </w:div>
    <w:div w:id="1146973837">
      <w:bodyDiv w:val="1"/>
      <w:marLeft w:val="0"/>
      <w:marRight w:val="0"/>
      <w:marTop w:val="0"/>
      <w:marBottom w:val="0"/>
      <w:divBdr>
        <w:top w:val="none" w:sz="0" w:space="0" w:color="auto"/>
        <w:left w:val="none" w:sz="0" w:space="0" w:color="auto"/>
        <w:bottom w:val="none" w:sz="0" w:space="0" w:color="auto"/>
        <w:right w:val="none" w:sz="0" w:space="0" w:color="auto"/>
      </w:divBdr>
    </w:div>
    <w:div w:id="1159233229">
      <w:bodyDiv w:val="1"/>
      <w:marLeft w:val="0"/>
      <w:marRight w:val="0"/>
      <w:marTop w:val="0"/>
      <w:marBottom w:val="0"/>
      <w:divBdr>
        <w:top w:val="none" w:sz="0" w:space="0" w:color="auto"/>
        <w:left w:val="none" w:sz="0" w:space="0" w:color="auto"/>
        <w:bottom w:val="none" w:sz="0" w:space="0" w:color="auto"/>
        <w:right w:val="none" w:sz="0" w:space="0" w:color="auto"/>
      </w:divBdr>
    </w:div>
    <w:div w:id="1197548047">
      <w:bodyDiv w:val="1"/>
      <w:marLeft w:val="0"/>
      <w:marRight w:val="0"/>
      <w:marTop w:val="0"/>
      <w:marBottom w:val="0"/>
      <w:divBdr>
        <w:top w:val="none" w:sz="0" w:space="0" w:color="auto"/>
        <w:left w:val="none" w:sz="0" w:space="0" w:color="auto"/>
        <w:bottom w:val="none" w:sz="0" w:space="0" w:color="auto"/>
        <w:right w:val="none" w:sz="0" w:space="0" w:color="auto"/>
      </w:divBdr>
    </w:div>
    <w:div w:id="1208302512">
      <w:bodyDiv w:val="1"/>
      <w:marLeft w:val="0"/>
      <w:marRight w:val="0"/>
      <w:marTop w:val="0"/>
      <w:marBottom w:val="0"/>
      <w:divBdr>
        <w:top w:val="none" w:sz="0" w:space="0" w:color="auto"/>
        <w:left w:val="none" w:sz="0" w:space="0" w:color="auto"/>
        <w:bottom w:val="none" w:sz="0" w:space="0" w:color="auto"/>
        <w:right w:val="none" w:sz="0" w:space="0" w:color="auto"/>
      </w:divBdr>
    </w:div>
    <w:div w:id="1213270880">
      <w:bodyDiv w:val="1"/>
      <w:marLeft w:val="0"/>
      <w:marRight w:val="0"/>
      <w:marTop w:val="0"/>
      <w:marBottom w:val="0"/>
      <w:divBdr>
        <w:top w:val="none" w:sz="0" w:space="0" w:color="auto"/>
        <w:left w:val="none" w:sz="0" w:space="0" w:color="auto"/>
        <w:bottom w:val="none" w:sz="0" w:space="0" w:color="auto"/>
        <w:right w:val="none" w:sz="0" w:space="0" w:color="auto"/>
      </w:divBdr>
      <w:divsChild>
        <w:div w:id="1835146661">
          <w:marLeft w:val="0"/>
          <w:marRight w:val="0"/>
          <w:marTop w:val="0"/>
          <w:marBottom w:val="0"/>
          <w:divBdr>
            <w:top w:val="none" w:sz="0" w:space="0" w:color="auto"/>
            <w:left w:val="none" w:sz="0" w:space="0" w:color="auto"/>
            <w:bottom w:val="none" w:sz="0" w:space="0" w:color="auto"/>
            <w:right w:val="none" w:sz="0" w:space="0" w:color="auto"/>
          </w:divBdr>
          <w:divsChild>
            <w:div w:id="2101441477">
              <w:marLeft w:val="0"/>
              <w:marRight w:val="0"/>
              <w:marTop w:val="0"/>
              <w:marBottom w:val="0"/>
              <w:divBdr>
                <w:top w:val="none" w:sz="0" w:space="0" w:color="auto"/>
                <w:left w:val="none" w:sz="0" w:space="0" w:color="auto"/>
                <w:bottom w:val="none" w:sz="0" w:space="0" w:color="auto"/>
                <w:right w:val="none" w:sz="0" w:space="0" w:color="auto"/>
              </w:divBdr>
              <w:divsChild>
                <w:div w:id="312178506">
                  <w:marLeft w:val="0"/>
                  <w:marRight w:val="0"/>
                  <w:marTop w:val="0"/>
                  <w:marBottom w:val="0"/>
                  <w:divBdr>
                    <w:top w:val="none" w:sz="0" w:space="0" w:color="auto"/>
                    <w:left w:val="none" w:sz="0" w:space="0" w:color="auto"/>
                    <w:bottom w:val="none" w:sz="0" w:space="0" w:color="auto"/>
                    <w:right w:val="none" w:sz="0" w:space="0" w:color="auto"/>
                  </w:divBdr>
                  <w:divsChild>
                    <w:div w:id="989594695">
                      <w:marLeft w:val="0"/>
                      <w:marRight w:val="0"/>
                      <w:marTop w:val="0"/>
                      <w:marBottom w:val="0"/>
                      <w:divBdr>
                        <w:top w:val="none" w:sz="0" w:space="0" w:color="auto"/>
                        <w:left w:val="none" w:sz="0" w:space="0" w:color="auto"/>
                        <w:bottom w:val="none" w:sz="0" w:space="0" w:color="auto"/>
                        <w:right w:val="none" w:sz="0" w:space="0" w:color="auto"/>
                      </w:divBdr>
                      <w:divsChild>
                        <w:div w:id="2117868284">
                          <w:marLeft w:val="0"/>
                          <w:marRight w:val="0"/>
                          <w:marTop w:val="0"/>
                          <w:marBottom w:val="0"/>
                          <w:divBdr>
                            <w:top w:val="none" w:sz="0" w:space="0" w:color="auto"/>
                            <w:left w:val="none" w:sz="0" w:space="0" w:color="auto"/>
                            <w:bottom w:val="none" w:sz="0" w:space="0" w:color="auto"/>
                            <w:right w:val="none" w:sz="0" w:space="0" w:color="auto"/>
                          </w:divBdr>
                          <w:divsChild>
                            <w:div w:id="2100446846">
                              <w:marLeft w:val="0"/>
                              <w:marRight w:val="0"/>
                              <w:marTop w:val="0"/>
                              <w:marBottom w:val="0"/>
                              <w:divBdr>
                                <w:top w:val="none" w:sz="0" w:space="0" w:color="auto"/>
                                <w:left w:val="none" w:sz="0" w:space="0" w:color="auto"/>
                                <w:bottom w:val="none" w:sz="0" w:space="0" w:color="auto"/>
                                <w:right w:val="none" w:sz="0" w:space="0" w:color="auto"/>
                              </w:divBdr>
                              <w:divsChild>
                                <w:div w:id="38945883">
                                  <w:marLeft w:val="0"/>
                                  <w:marRight w:val="0"/>
                                  <w:marTop w:val="0"/>
                                  <w:marBottom w:val="0"/>
                                  <w:divBdr>
                                    <w:top w:val="none" w:sz="0" w:space="0" w:color="auto"/>
                                    <w:left w:val="none" w:sz="0" w:space="0" w:color="auto"/>
                                    <w:bottom w:val="none" w:sz="0" w:space="0" w:color="auto"/>
                                    <w:right w:val="none" w:sz="0" w:space="0" w:color="auto"/>
                                  </w:divBdr>
                                  <w:divsChild>
                                    <w:div w:id="1663847272">
                                      <w:marLeft w:val="0"/>
                                      <w:marRight w:val="0"/>
                                      <w:marTop w:val="0"/>
                                      <w:marBottom w:val="0"/>
                                      <w:divBdr>
                                        <w:top w:val="none" w:sz="0" w:space="0" w:color="auto"/>
                                        <w:left w:val="none" w:sz="0" w:space="0" w:color="auto"/>
                                        <w:bottom w:val="none" w:sz="0" w:space="0" w:color="auto"/>
                                        <w:right w:val="none" w:sz="0" w:space="0" w:color="auto"/>
                                      </w:divBdr>
                                      <w:divsChild>
                                        <w:div w:id="1564675249">
                                          <w:marLeft w:val="0"/>
                                          <w:marRight w:val="0"/>
                                          <w:marTop w:val="0"/>
                                          <w:marBottom w:val="0"/>
                                          <w:divBdr>
                                            <w:top w:val="none" w:sz="0" w:space="0" w:color="auto"/>
                                            <w:left w:val="none" w:sz="0" w:space="0" w:color="auto"/>
                                            <w:bottom w:val="none" w:sz="0" w:space="0" w:color="auto"/>
                                            <w:right w:val="none" w:sz="0" w:space="0" w:color="auto"/>
                                          </w:divBdr>
                                          <w:divsChild>
                                            <w:div w:id="896672266">
                                              <w:marLeft w:val="0"/>
                                              <w:marRight w:val="0"/>
                                              <w:marTop w:val="0"/>
                                              <w:marBottom w:val="0"/>
                                              <w:divBdr>
                                                <w:top w:val="none" w:sz="0" w:space="0" w:color="auto"/>
                                                <w:left w:val="none" w:sz="0" w:space="0" w:color="auto"/>
                                                <w:bottom w:val="none" w:sz="0" w:space="0" w:color="auto"/>
                                                <w:right w:val="none" w:sz="0" w:space="0" w:color="auto"/>
                                              </w:divBdr>
                                              <w:divsChild>
                                                <w:div w:id="822086972">
                                                  <w:marLeft w:val="0"/>
                                                  <w:marRight w:val="0"/>
                                                  <w:marTop w:val="0"/>
                                                  <w:marBottom w:val="0"/>
                                                  <w:divBdr>
                                                    <w:top w:val="none" w:sz="0" w:space="0" w:color="auto"/>
                                                    <w:left w:val="none" w:sz="0" w:space="0" w:color="auto"/>
                                                    <w:bottom w:val="none" w:sz="0" w:space="0" w:color="auto"/>
                                                    <w:right w:val="none" w:sz="0" w:space="0" w:color="auto"/>
                                                  </w:divBdr>
                                                  <w:divsChild>
                                                    <w:div w:id="2052266737">
                                                      <w:marLeft w:val="0"/>
                                                      <w:marRight w:val="0"/>
                                                      <w:marTop w:val="0"/>
                                                      <w:marBottom w:val="0"/>
                                                      <w:divBdr>
                                                        <w:top w:val="none" w:sz="0" w:space="0" w:color="auto"/>
                                                        <w:left w:val="none" w:sz="0" w:space="0" w:color="auto"/>
                                                        <w:bottom w:val="none" w:sz="0" w:space="0" w:color="auto"/>
                                                        <w:right w:val="none" w:sz="0" w:space="0" w:color="auto"/>
                                                      </w:divBdr>
                                                      <w:divsChild>
                                                        <w:div w:id="589235447">
                                                          <w:marLeft w:val="0"/>
                                                          <w:marRight w:val="0"/>
                                                          <w:marTop w:val="0"/>
                                                          <w:marBottom w:val="0"/>
                                                          <w:divBdr>
                                                            <w:top w:val="none" w:sz="0" w:space="0" w:color="auto"/>
                                                            <w:left w:val="none" w:sz="0" w:space="0" w:color="auto"/>
                                                            <w:bottom w:val="none" w:sz="0" w:space="0" w:color="auto"/>
                                                            <w:right w:val="none" w:sz="0" w:space="0" w:color="auto"/>
                                                          </w:divBdr>
                                                          <w:divsChild>
                                                            <w:div w:id="23278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13344540">
      <w:bodyDiv w:val="1"/>
      <w:marLeft w:val="0"/>
      <w:marRight w:val="0"/>
      <w:marTop w:val="0"/>
      <w:marBottom w:val="0"/>
      <w:divBdr>
        <w:top w:val="none" w:sz="0" w:space="0" w:color="auto"/>
        <w:left w:val="none" w:sz="0" w:space="0" w:color="auto"/>
        <w:bottom w:val="none" w:sz="0" w:space="0" w:color="auto"/>
        <w:right w:val="none" w:sz="0" w:space="0" w:color="auto"/>
      </w:divBdr>
    </w:div>
    <w:div w:id="1215242314">
      <w:bodyDiv w:val="1"/>
      <w:marLeft w:val="0"/>
      <w:marRight w:val="0"/>
      <w:marTop w:val="0"/>
      <w:marBottom w:val="0"/>
      <w:divBdr>
        <w:top w:val="none" w:sz="0" w:space="0" w:color="auto"/>
        <w:left w:val="none" w:sz="0" w:space="0" w:color="auto"/>
        <w:bottom w:val="none" w:sz="0" w:space="0" w:color="auto"/>
        <w:right w:val="none" w:sz="0" w:space="0" w:color="auto"/>
      </w:divBdr>
    </w:div>
    <w:div w:id="1236402609">
      <w:bodyDiv w:val="1"/>
      <w:marLeft w:val="0"/>
      <w:marRight w:val="0"/>
      <w:marTop w:val="0"/>
      <w:marBottom w:val="0"/>
      <w:divBdr>
        <w:top w:val="none" w:sz="0" w:space="0" w:color="auto"/>
        <w:left w:val="none" w:sz="0" w:space="0" w:color="auto"/>
        <w:bottom w:val="none" w:sz="0" w:space="0" w:color="auto"/>
        <w:right w:val="none" w:sz="0" w:space="0" w:color="auto"/>
      </w:divBdr>
    </w:div>
    <w:div w:id="1255019020">
      <w:bodyDiv w:val="1"/>
      <w:marLeft w:val="0"/>
      <w:marRight w:val="0"/>
      <w:marTop w:val="0"/>
      <w:marBottom w:val="0"/>
      <w:divBdr>
        <w:top w:val="none" w:sz="0" w:space="0" w:color="auto"/>
        <w:left w:val="none" w:sz="0" w:space="0" w:color="auto"/>
        <w:bottom w:val="none" w:sz="0" w:space="0" w:color="auto"/>
        <w:right w:val="none" w:sz="0" w:space="0" w:color="auto"/>
      </w:divBdr>
    </w:div>
    <w:div w:id="1265576811">
      <w:bodyDiv w:val="1"/>
      <w:marLeft w:val="0"/>
      <w:marRight w:val="0"/>
      <w:marTop w:val="0"/>
      <w:marBottom w:val="0"/>
      <w:divBdr>
        <w:top w:val="none" w:sz="0" w:space="0" w:color="auto"/>
        <w:left w:val="none" w:sz="0" w:space="0" w:color="auto"/>
        <w:bottom w:val="none" w:sz="0" w:space="0" w:color="auto"/>
        <w:right w:val="none" w:sz="0" w:space="0" w:color="auto"/>
      </w:divBdr>
    </w:div>
    <w:div w:id="1277952320">
      <w:bodyDiv w:val="1"/>
      <w:marLeft w:val="0"/>
      <w:marRight w:val="0"/>
      <w:marTop w:val="0"/>
      <w:marBottom w:val="0"/>
      <w:divBdr>
        <w:top w:val="none" w:sz="0" w:space="0" w:color="auto"/>
        <w:left w:val="none" w:sz="0" w:space="0" w:color="auto"/>
        <w:bottom w:val="none" w:sz="0" w:space="0" w:color="auto"/>
        <w:right w:val="none" w:sz="0" w:space="0" w:color="auto"/>
      </w:divBdr>
      <w:divsChild>
        <w:div w:id="1369647285">
          <w:marLeft w:val="547"/>
          <w:marRight w:val="0"/>
          <w:marTop w:val="0"/>
          <w:marBottom w:val="0"/>
          <w:divBdr>
            <w:top w:val="none" w:sz="0" w:space="0" w:color="auto"/>
            <w:left w:val="none" w:sz="0" w:space="0" w:color="auto"/>
            <w:bottom w:val="none" w:sz="0" w:space="0" w:color="auto"/>
            <w:right w:val="none" w:sz="0" w:space="0" w:color="auto"/>
          </w:divBdr>
        </w:div>
        <w:div w:id="1673946140">
          <w:marLeft w:val="547"/>
          <w:marRight w:val="0"/>
          <w:marTop w:val="0"/>
          <w:marBottom w:val="0"/>
          <w:divBdr>
            <w:top w:val="none" w:sz="0" w:space="0" w:color="auto"/>
            <w:left w:val="none" w:sz="0" w:space="0" w:color="auto"/>
            <w:bottom w:val="none" w:sz="0" w:space="0" w:color="auto"/>
            <w:right w:val="none" w:sz="0" w:space="0" w:color="auto"/>
          </w:divBdr>
        </w:div>
        <w:div w:id="1948542260">
          <w:marLeft w:val="547"/>
          <w:marRight w:val="0"/>
          <w:marTop w:val="0"/>
          <w:marBottom w:val="0"/>
          <w:divBdr>
            <w:top w:val="none" w:sz="0" w:space="0" w:color="auto"/>
            <w:left w:val="none" w:sz="0" w:space="0" w:color="auto"/>
            <w:bottom w:val="none" w:sz="0" w:space="0" w:color="auto"/>
            <w:right w:val="none" w:sz="0" w:space="0" w:color="auto"/>
          </w:divBdr>
        </w:div>
      </w:divsChild>
    </w:div>
    <w:div w:id="1317341368">
      <w:bodyDiv w:val="1"/>
      <w:marLeft w:val="0"/>
      <w:marRight w:val="0"/>
      <w:marTop w:val="0"/>
      <w:marBottom w:val="0"/>
      <w:divBdr>
        <w:top w:val="none" w:sz="0" w:space="0" w:color="auto"/>
        <w:left w:val="none" w:sz="0" w:space="0" w:color="auto"/>
        <w:bottom w:val="none" w:sz="0" w:space="0" w:color="auto"/>
        <w:right w:val="none" w:sz="0" w:space="0" w:color="auto"/>
      </w:divBdr>
    </w:div>
    <w:div w:id="1362584311">
      <w:bodyDiv w:val="1"/>
      <w:marLeft w:val="0"/>
      <w:marRight w:val="0"/>
      <w:marTop w:val="0"/>
      <w:marBottom w:val="0"/>
      <w:divBdr>
        <w:top w:val="none" w:sz="0" w:space="0" w:color="auto"/>
        <w:left w:val="none" w:sz="0" w:space="0" w:color="auto"/>
        <w:bottom w:val="none" w:sz="0" w:space="0" w:color="auto"/>
        <w:right w:val="none" w:sz="0" w:space="0" w:color="auto"/>
      </w:divBdr>
    </w:div>
    <w:div w:id="1390035543">
      <w:bodyDiv w:val="1"/>
      <w:marLeft w:val="0"/>
      <w:marRight w:val="0"/>
      <w:marTop w:val="0"/>
      <w:marBottom w:val="0"/>
      <w:divBdr>
        <w:top w:val="none" w:sz="0" w:space="0" w:color="auto"/>
        <w:left w:val="none" w:sz="0" w:space="0" w:color="auto"/>
        <w:bottom w:val="none" w:sz="0" w:space="0" w:color="auto"/>
        <w:right w:val="none" w:sz="0" w:space="0" w:color="auto"/>
      </w:divBdr>
    </w:div>
    <w:div w:id="1392848517">
      <w:bodyDiv w:val="1"/>
      <w:marLeft w:val="0"/>
      <w:marRight w:val="0"/>
      <w:marTop w:val="0"/>
      <w:marBottom w:val="0"/>
      <w:divBdr>
        <w:top w:val="none" w:sz="0" w:space="0" w:color="auto"/>
        <w:left w:val="none" w:sz="0" w:space="0" w:color="auto"/>
        <w:bottom w:val="none" w:sz="0" w:space="0" w:color="auto"/>
        <w:right w:val="none" w:sz="0" w:space="0" w:color="auto"/>
      </w:divBdr>
    </w:div>
    <w:div w:id="1412653476">
      <w:bodyDiv w:val="1"/>
      <w:marLeft w:val="0"/>
      <w:marRight w:val="0"/>
      <w:marTop w:val="0"/>
      <w:marBottom w:val="0"/>
      <w:divBdr>
        <w:top w:val="none" w:sz="0" w:space="0" w:color="auto"/>
        <w:left w:val="none" w:sz="0" w:space="0" w:color="auto"/>
        <w:bottom w:val="none" w:sz="0" w:space="0" w:color="auto"/>
        <w:right w:val="none" w:sz="0" w:space="0" w:color="auto"/>
      </w:divBdr>
    </w:div>
    <w:div w:id="1434087808">
      <w:bodyDiv w:val="1"/>
      <w:marLeft w:val="0"/>
      <w:marRight w:val="0"/>
      <w:marTop w:val="0"/>
      <w:marBottom w:val="0"/>
      <w:divBdr>
        <w:top w:val="none" w:sz="0" w:space="0" w:color="auto"/>
        <w:left w:val="none" w:sz="0" w:space="0" w:color="auto"/>
        <w:bottom w:val="none" w:sz="0" w:space="0" w:color="auto"/>
        <w:right w:val="none" w:sz="0" w:space="0" w:color="auto"/>
      </w:divBdr>
    </w:div>
    <w:div w:id="1479112714">
      <w:bodyDiv w:val="1"/>
      <w:marLeft w:val="0"/>
      <w:marRight w:val="0"/>
      <w:marTop w:val="0"/>
      <w:marBottom w:val="0"/>
      <w:divBdr>
        <w:top w:val="none" w:sz="0" w:space="0" w:color="auto"/>
        <w:left w:val="none" w:sz="0" w:space="0" w:color="auto"/>
        <w:bottom w:val="none" w:sz="0" w:space="0" w:color="auto"/>
        <w:right w:val="none" w:sz="0" w:space="0" w:color="auto"/>
      </w:divBdr>
      <w:divsChild>
        <w:div w:id="1731999607">
          <w:marLeft w:val="0"/>
          <w:marRight w:val="0"/>
          <w:marTop w:val="0"/>
          <w:marBottom w:val="0"/>
          <w:divBdr>
            <w:top w:val="none" w:sz="0" w:space="0" w:color="auto"/>
            <w:left w:val="none" w:sz="0" w:space="0" w:color="auto"/>
            <w:bottom w:val="none" w:sz="0" w:space="0" w:color="auto"/>
            <w:right w:val="none" w:sz="0" w:space="0" w:color="auto"/>
          </w:divBdr>
          <w:divsChild>
            <w:div w:id="264459012">
              <w:marLeft w:val="0"/>
              <w:marRight w:val="0"/>
              <w:marTop w:val="0"/>
              <w:marBottom w:val="0"/>
              <w:divBdr>
                <w:top w:val="none" w:sz="0" w:space="0" w:color="auto"/>
                <w:left w:val="none" w:sz="0" w:space="0" w:color="auto"/>
                <w:bottom w:val="none" w:sz="0" w:space="0" w:color="auto"/>
                <w:right w:val="none" w:sz="0" w:space="0" w:color="auto"/>
              </w:divBdr>
              <w:divsChild>
                <w:div w:id="320013693">
                  <w:marLeft w:val="0"/>
                  <w:marRight w:val="0"/>
                  <w:marTop w:val="0"/>
                  <w:marBottom w:val="0"/>
                  <w:divBdr>
                    <w:top w:val="none" w:sz="0" w:space="0" w:color="auto"/>
                    <w:left w:val="none" w:sz="0" w:space="0" w:color="auto"/>
                    <w:bottom w:val="none" w:sz="0" w:space="0" w:color="auto"/>
                    <w:right w:val="none" w:sz="0" w:space="0" w:color="auto"/>
                  </w:divBdr>
                  <w:divsChild>
                    <w:div w:id="1101604844">
                      <w:marLeft w:val="0"/>
                      <w:marRight w:val="0"/>
                      <w:marTop w:val="0"/>
                      <w:marBottom w:val="0"/>
                      <w:divBdr>
                        <w:top w:val="none" w:sz="0" w:space="0" w:color="auto"/>
                        <w:left w:val="none" w:sz="0" w:space="0" w:color="auto"/>
                        <w:bottom w:val="none" w:sz="0" w:space="0" w:color="auto"/>
                        <w:right w:val="none" w:sz="0" w:space="0" w:color="auto"/>
                      </w:divBdr>
                      <w:divsChild>
                        <w:div w:id="1132139860">
                          <w:marLeft w:val="0"/>
                          <w:marRight w:val="0"/>
                          <w:marTop w:val="0"/>
                          <w:marBottom w:val="0"/>
                          <w:divBdr>
                            <w:top w:val="none" w:sz="0" w:space="0" w:color="auto"/>
                            <w:left w:val="none" w:sz="0" w:space="0" w:color="auto"/>
                            <w:bottom w:val="none" w:sz="0" w:space="0" w:color="auto"/>
                            <w:right w:val="none" w:sz="0" w:space="0" w:color="auto"/>
                          </w:divBdr>
                          <w:divsChild>
                            <w:div w:id="296616245">
                              <w:marLeft w:val="0"/>
                              <w:marRight w:val="0"/>
                              <w:marTop w:val="0"/>
                              <w:marBottom w:val="0"/>
                              <w:divBdr>
                                <w:top w:val="none" w:sz="0" w:space="0" w:color="auto"/>
                                <w:left w:val="none" w:sz="0" w:space="0" w:color="auto"/>
                                <w:bottom w:val="none" w:sz="0" w:space="0" w:color="auto"/>
                                <w:right w:val="none" w:sz="0" w:space="0" w:color="auto"/>
                              </w:divBdr>
                              <w:divsChild>
                                <w:div w:id="233246555">
                                  <w:marLeft w:val="0"/>
                                  <w:marRight w:val="0"/>
                                  <w:marTop w:val="0"/>
                                  <w:marBottom w:val="0"/>
                                  <w:divBdr>
                                    <w:top w:val="none" w:sz="0" w:space="0" w:color="auto"/>
                                    <w:left w:val="none" w:sz="0" w:space="0" w:color="auto"/>
                                    <w:bottom w:val="none" w:sz="0" w:space="0" w:color="auto"/>
                                    <w:right w:val="none" w:sz="0" w:space="0" w:color="auto"/>
                                  </w:divBdr>
                                  <w:divsChild>
                                    <w:div w:id="1903714501">
                                      <w:marLeft w:val="0"/>
                                      <w:marRight w:val="0"/>
                                      <w:marTop w:val="0"/>
                                      <w:marBottom w:val="0"/>
                                      <w:divBdr>
                                        <w:top w:val="none" w:sz="0" w:space="0" w:color="auto"/>
                                        <w:left w:val="none" w:sz="0" w:space="0" w:color="auto"/>
                                        <w:bottom w:val="none" w:sz="0" w:space="0" w:color="auto"/>
                                        <w:right w:val="none" w:sz="0" w:space="0" w:color="auto"/>
                                      </w:divBdr>
                                      <w:divsChild>
                                        <w:div w:id="1857496323">
                                          <w:marLeft w:val="0"/>
                                          <w:marRight w:val="0"/>
                                          <w:marTop w:val="0"/>
                                          <w:marBottom w:val="0"/>
                                          <w:divBdr>
                                            <w:top w:val="none" w:sz="0" w:space="0" w:color="auto"/>
                                            <w:left w:val="none" w:sz="0" w:space="0" w:color="auto"/>
                                            <w:bottom w:val="none" w:sz="0" w:space="0" w:color="auto"/>
                                            <w:right w:val="none" w:sz="0" w:space="0" w:color="auto"/>
                                          </w:divBdr>
                                          <w:divsChild>
                                            <w:div w:id="1249848663">
                                              <w:marLeft w:val="0"/>
                                              <w:marRight w:val="0"/>
                                              <w:marTop w:val="0"/>
                                              <w:marBottom w:val="0"/>
                                              <w:divBdr>
                                                <w:top w:val="none" w:sz="0" w:space="0" w:color="auto"/>
                                                <w:left w:val="none" w:sz="0" w:space="0" w:color="auto"/>
                                                <w:bottom w:val="none" w:sz="0" w:space="0" w:color="auto"/>
                                                <w:right w:val="none" w:sz="0" w:space="0" w:color="auto"/>
                                              </w:divBdr>
                                              <w:divsChild>
                                                <w:div w:id="499396680">
                                                  <w:marLeft w:val="0"/>
                                                  <w:marRight w:val="0"/>
                                                  <w:marTop w:val="0"/>
                                                  <w:marBottom w:val="0"/>
                                                  <w:divBdr>
                                                    <w:top w:val="none" w:sz="0" w:space="0" w:color="auto"/>
                                                    <w:left w:val="none" w:sz="0" w:space="0" w:color="auto"/>
                                                    <w:bottom w:val="none" w:sz="0" w:space="0" w:color="auto"/>
                                                    <w:right w:val="none" w:sz="0" w:space="0" w:color="auto"/>
                                                  </w:divBdr>
                                                  <w:divsChild>
                                                    <w:div w:id="1417046708">
                                                      <w:marLeft w:val="0"/>
                                                      <w:marRight w:val="0"/>
                                                      <w:marTop w:val="0"/>
                                                      <w:marBottom w:val="0"/>
                                                      <w:divBdr>
                                                        <w:top w:val="none" w:sz="0" w:space="0" w:color="auto"/>
                                                        <w:left w:val="none" w:sz="0" w:space="0" w:color="auto"/>
                                                        <w:bottom w:val="none" w:sz="0" w:space="0" w:color="auto"/>
                                                        <w:right w:val="none" w:sz="0" w:space="0" w:color="auto"/>
                                                      </w:divBdr>
                                                      <w:divsChild>
                                                        <w:div w:id="1229538177">
                                                          <w:marLeft w:val="0"/>
                                                          <w:marRight w:val="0"/>
                                                          <w:marTop w:val="0"/>
                                                          <w:marBottom w:val="0"/>
                                                          <w:divBdr>
                                                            <w:top w:val="none" w:sz="0" w:space="0" w:color="auto"/>
                                                            <w:left w:val="none" w:sz="0" w:space="0" w:color="auto"/>
                                                            <w:bottom w:val="none" w:sz="0" w:space="0" w:color="auto"/>
                                                            <w:right w:val="none" w:sz="0" w:space="0" w:color="auto"/>
                                                          </w:divBdr>
                                                          <w:divsChild>
                                                            <w:div w:id="79649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97500719">
      <w:bodyDiv w:val="1"/>
      <w:marLeft w:val="0"/>
      <w:marRight w:val="0"/>
      <w:marTop w:val="0"/>
      <w:marBottom w:val="0"/>
      <w:divBdr>
        <w:top w:val="none" w:sz="0" w:space="0" w:color="auto"/>
        <w:left w:val="none" w:sz="0" w:space="0" w:color="auto"/>
        <w:bottom w:val="none" w:sz="0" w:space="0" w:color="auto"/>
        <w:right w:val="none" w:sz="0" w:space="0" w:color="auto"/>
      </w:divBdr>
    </w:div>
    <w:div w:id="1513449788">
      <w:bodyDiv w:val="1"/>
      <w:marLeft w:val="0"/>
      <w:marRight w:val="0"/>
      <w:marTop w:val="0"/>
      <w:marBottom w:val="0"/>
      <w:divBdr>
        <w:top w:val="none" w:sz="0" w:space="0" w:color="auto"/>
        <w:left w:val="none" w:sz="0" w:space="0" w:color="auto"/>
        <w:bottom w:val="none" w:sz="0" w:space="0" w:color="auto"/>
        <w:right w:val="none" w:sz="0" w:space="0" w:color="auto"/>
      </w:divBdr>
      <w:divsChild>
        <w:div w:id="125008433">
          <w:marLeft w:val="0"/>
          <w:marRight w:val="0"/>
          <w:marTop w:val="0"/>
          <w:marBottom w:val="0"/>
          <w:divBdr>
            <w:top w:val="none" w:sz="0" w:space="0" w:color="auto"/>
            <w:left w:val="none" w:sz="0" w:space="0" w:color="auto"/>
            <w:bottom w:val="none" w:sz="0" w:space="0" w:color="auto"/>
            <w:right w:val="none" w:sz="0" w:space="0" w:color="auto"/>
          </w:divBdr>
          <w:divsChild>
            <w:div w:id="1648897474">
              <w:marLeft w:val="0"/>
              <w:marRight w:val="0"/>
              <w:marTop w:val="0"/>
              <w:marBottom w:val="0"/>
              <w:divBdr>
                <w:top w:val="none" w:sz="0" w:space="0" w:color="auto"/>
                <w:left w:val="none" w:sz="0" w:space="0" w:color="auto"/>
                <w:bottom w:val="none" w:sz="0" w:space="0" w:color="auto"/>
                <w:right w:val="none" w:sz="0" w:space="0" w:color="auto"/>
              </w:divBdr>
              <w:divsChild>
                <w:div w:id="580529011">
                  <w:marLeft w:val="0"/>
                  <w:marRight w:val="0"/>
                  <w:marTop w:val="0"/>
                  <w:marBottom w:val="0"/>
                  <w:divBdr>
                    <w:top w:val="none" w:sz="0" w:space="0" w:color="auto"/>
                    <w:left w:val="none" w:sz="0" w:space="0" w:color="auto"/>
                    <w:bottom w:val="none" w:sz="0" w:space="0" w:color="auto"/>
                    <w:right w:val="none" w:sz="0" w:space="0" w:color="auto"/>
                  </w:divBdr>
                  <w:divsChild>
                    <w:div w:id="63995880">
                      <w:marLeft w:val="0"/>
                      <w:marRight w:val="0"/>
                      <w:marTop w:val="0"/>
                      <w:marBottom w:val="0"/>
                      <w:divBdr>
                        <w:top w:val="none" w:sz="0" w:space="0" w:color="auto"/>
                        <w:left w:val="none" w:sz="0" w:space="0" w:color="auto"/>
                        <w:bottom w:val="none" w:sz="0" w:space="0" w:color="auto"/>
                        <w:right w:val="none" w:sz="0" w:space="0" w:color="auto"/>
                      </w:divBdr>
                      <w:divsChild>
                        <w:div w:id="112211672">
                          <w:marLeft w:val="0"/>
                          <w:marRight w:val="0"/>
                          <w:marTop w:val="0"/>
                          <w:marBottom w:val="0"/>
                          <w:divBdr>
                            <w:top w:val="none" w:sz="0" w:space="0" w:color="auto"/>
                            <w:left w:val="none" w:sz="0" w:space="0" w:color="auto"/>
                            <w:bottom w:val="none" w:sz="0" w:space="0" w:color="auto"/>
                            <w:right w:val="none" w:sz="0" w:space="0" w:color="auto"/>
                          </w:divBdr>
                          <w:divsChild>
                            <w:div w:id="1593977872">
                              <w:marLeft w:val="0"/>
                              <w:marRight w:val="0"/>
                              <w:marTop w:val="0"/>
                              <w:marBottom w:val="0"/>
                              <w:divBdr>
                                <w:top w:val="none" w:sz="0" w:space="0" w:color="auto"/>
                                <w:left w:val="none" w:sz="0" w:space="0" w:color="auto"/>
                                <w:bottom w:val="none" w:sz="0" w:space="0" w:color="auto"/>
                                <w:right w:val="none" w:sz="0" w:space="0" w:color="auto"/>
                              </w:divBdr>
                              <w:divsChild>
                                <w:div w:id="2087024053">
                                  <w:marLeft w:val="0"/>
                                  <w:marRight w:val="0"/>
                                  <w:marTop w:val="0"/>
                                  <w:marBottom w:val="0"/>
                                  <w:divBdr>
                                    <w:top w:val="none" w:sz="0" w:space="0" w:color="auto"/>
                                    <w:left w:val="none" w:sz="0" w:space="0" w:color="auto"/>
                                    <w:bottom w:val="none" w:sz="0" w:space="0" w:color="auto"/>
                                    <w:right w:val="none" w:sz="0" w:space="0" w:color="auto"/>
                                  </w:divBdr>
                                  <w:divsChild>
                                    <w:div w:id="321854362">
                                      <w:marLeft w:val="0"/>
                                      <w:marRight w:val="0"/>
                                      <w:marTop w:val="0"/>
                                      <w:marBottom w:val="0"/>
                                      <w:divBdr>
                                        <w:top w:val="none" w:sz="0" w:space="0" w:color="auto"/>
                                        <w:left w:val="none" w:sz="0" w:space="0" w:color="auto"/>
                                        <w:bottom w:val="none" w:sz="0" w:space="0" w:color="auto"/>
                                        <w:right w:val="none" w:sz="0" w:space="0" w:color="auto"/>
                                      </w:divBdr>
                                      <w:divsChild>
                                        <w:div w:id="1671131424">
                                          <w:marLeft w:val="0"/>
                                          <w:marRight w:val="0"/>
                                          <w:marTop w:val="0"/>
                                          <w:marBottom w:val="0"/>
                                          <w:divBdr>
                                            <w:top w:val="none" w:sz="0" w:space="0" w:color="auto"/>
                                            <w:left w:val="none" w:sz="0" w:space="0" w:color="auto"/>
                                            <w:bottom w:val="none" w:sz="0" w:space="0" w:color="auto"/>
                                            <w:right w:val="none" w:sz="0" w:space="0" w:color="auto"/>
                                          </w:divBdr>
                                          <w:divsChild>
                                            <w:div w:id="456530448">
                                              <w:marLeft w:val="0"/>
                                              <w:marRight w:val="0"/>
                                              <w:marTop w:val="0"/>
                                              <w:marBottom w:val="0"/>
                                              <w:divBdr>
                                                <w:top w:val="none" w:sz="0" w:space="0" w:color="auto"/>
                                                <w:left w:val="none" w:sz="0" w:space="0" w:color="auto"/>
                                                <w:bottom w:val="none" w:sz="0" w:space="0" w:color="auto"/>
                                                <w:right w:val="none" w:sz="0" w:space="0" w:color="auto"/>
                                              </w:divBdr>
                                              <w:divsChild>
                                                <w:div w:id="1317105192">
                                                  <w:marLeft w:val="0"/>
                                                  <w:marRight w:val="0"/>
                                                  <w:marTop w:val="0"/>
                                                  <w:marBottom w:val="0"/>
                                                  <w:divBdr>
                                                    <w:top w:val="none" w:sz="0" w:space="0" w:color="auto"/>
                                                    <w:left w:val="none" w:sz="0" w:space="0" w:color="auto"/>
                                                    <w:bottom w:val="none" w:sz="0" w:space="0" w:color="auto"/>
                                                    <w:right w:val="none" w:sz="0" w:space="0" w:color="auto"/>
                                                  </w:divBdr>
                                                  <w:divsChild>
                                                    <w:div w:id="831334942">
                                                      <w:marLeft w:val="0"/>
                                                      <w:marRight w:val="0"/>
                                                      <w:marTop w:val="0"/>
                                                      <w:marBottom w:val="0"/>
                                                      <w:divBdr>
                                                        <w:top w:val="none" w:sz="0" w:space="0" w:color="auto"/>
                                                        <w:left w:val="none" w:sz="0" w:space="0" w:color="auto"/>
                                                        <w:bottom w:val="none" w:sz="0" w:space="0" w:color="auto"/>
                                                        <w:right w:val="none" w:sz="0" w:space="0" w:color="auto"/>
                                                      </w:divBdr>
                                                      <w:divsChild>
                                                        <w:div w:id="1694379332">
                                                          <w:marLeft w:val="0"/>
                                                          <w:marRight w:val="0"/>
                                                          <w:marTop w:val="0"/>
                                                          <w:marBottom w:val="0"/>
                                                          <w:divBdr>
                                                            <w:top w:val="none" w:sz="0" w:space="0" w:color="auto"/>
                                                            <w:left w:val="none" w:sz="0" w:space="0" w:color="auto"/>
                                                            <w:bottom w:val="none" w:sz="0" w:space="0" w:color="auto"/>
                                                            <w:right w:val="none" w:sz="0" w:space="0" w:color="auto"/>
                                                          </w:divBdr>
                                                          <w:divsChild>
                                                            <w:div w:id="17369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32063584">
      <w:bodyDiv w:val="1"/>
      <w:marLeft w:val="0"/>
      <w:marRight w:val="0"/>
      <w:marTop w:val="0"/>
      <w:marBottom w:val="0"/>
      <w:divBdr>
        <w:top w:val="none" w:sz="0" w:space="0" w:color="auto"/>
        <w:left w:val="none" w:sz="0" w:space="0" w:color="auto"/>
        <w:bottom w:val="none" w:sz="0" w:space="0" w:color="auto"/>
        <w:right w:val="none" w:sz="0" w:space="0" w:color="auto"/>
      </w:divBdr>
    </w:div>
    <w:div w:id="1535927174">
      <w:bodyDiv w:val="1"/>
      <w:marLeft w:val="0"/>
      <w:marRight w:val="0"/>
      <w:marTop w:val="0"/>
      <w:marBottom w:val="0"/>
      <w:divBdr>
        <w:top w:val="none" w:sz="0" w:space="0" w:color="auto"/>
        <w:left w:val="none" w:sz="0" w:space="0" w:color="auto"/>
        <w:bottom w:val="none" w:sz="0" w:space="0" w:color="auto"/>
        <w:right w:val="none" w:sz="0" w:space="0" w:color="auto"/>
      </w:divBdr>
    </w:div>
    <w:div w:id="1546405511">
      <w:bodyDiv w:val="1"/>
      <w:marLeft w:val="0"/>
      <w:marRight w:val="0"/>
      <w:marTop w:val="0"/>
      <w:marBottom w:val="0"/>
      <w:divBdr>
        <w:top w:val="none" w:sz="0" w:space="0" w:color="auto"/>
        <w:left w:val="none" w:sz="0" w:space="0" w:color="auto"/>
        <w:bottom w:val="none" w:sz="0" w:space="0" w:color="auto"/>
        <w:right w:val="none" w:sz="0" w:space="0" w:color="auto"/>
      </w:divBdr>
      <w:divsChild>
        <w:div w:id="980426016">
          <w:marLeft w:val="0"/>
          <w:marRight w:val="0"/>
          <w:marTop w:val="0"/>
          <w:marBottom w:val="0"/>
          <w:divBdr>
            <w:top w:val="none" w:sz="0" w:space="0" w:color="auto"/>
            <w:left w:val="none" w:sz="0" w:space="0" w:color="auto"/>
            <w:bottom w:val="none" w:sz="0" w:space="0" w:color="auto"/>
            <w:right w:val="none" w:sz="0" w:space="0" w:color="auto"/>
          </w:divBdr>
          <w:divsChild>
            <w:div w:id="932202816">
              <w:marLeft w:val="0"/>
              <w:marRight w:val="0"/>
              <w:marTop w:val="0"/>
              <w:marBottom w:val="0"/>
              <w:divBdr>
                <w:top w:val="none" w:sz="0" w:space="0" w:color="auto"/>
                <w:left w:val="none" w:sz="0" w:space="0" w:color="auto"/>
                <w:bottom w:val="none" w:sz="0" w:space="0" w:color="auto"/>
                <w:right w:val="none" w:sz="0" w:space="0" w:color="auto"/>
              </w:divBdr>
              <w:divsChild>
                <w:div w:id="250356753">
                  <w:marLeft w:val="0"/>
                  <w:marRight w:val="0"/>
                  <w:marTop w:val="0"/>
                  <w:marBottom w:val="0"/>
                  <w:divBdr>
                    <w:top w:val="none" w:sz="0" w:space="0" w:color="auto"/>
                    <w:left w:val="none" w:sz="0" w:space="0" w:color="auto"/>
                    <w:bottom w:val="none" w:sz="0" w:space="0" w:color="auto"/>
                    <w:right w:val="none" w:sz="0" w:space="0" w:color="auto"/>
                  </w:divBdr>
                  <w:divsChild>
                    <w:div w:id="66223143">
                      <w:marLeft w:val="0"/>
                      <w:marRight w:val="0"/>
                      <w:marTop w:val="0"/>
                      <w:marBottom w:val="0"/>
                      <w:divBdr>
                        <w:top w:val="none" w:sz="0" w:space="0" w:color="auto"/>
                        <w:left w:val="none" w:sz="0" w:space="0" w:color="auto"/>
                        <w:bottom w:val="none" w:sz="0" w:space="0" w:color="auto"/>
                        <w:right w:val="none" w:sz="0" w:space="0" w:color="auto"/>
                      </w:divBdr>
                      <w:divsChild>
                        <w:div w:id="681054613">
                          <w:marLeft w:val="0"/>
                          <w:marRight w:val="0"/>
                          <w:marTop w:val="0"/>
                          <w:marBottom w:val="0"/>
                          <w:divBdr>
                            <w:top w:val="none" w:sz="0" w:space="0" w:color="auto"/>
                            <w:left w:val="none" w:sz="0" w:space="0" w:color="auto"/>
                            <w:bottom w:val="none" w:sz="0" w:space="0" w:color="auto"/>
                            <w:right w:val="none" w:sz="0" w:space="0" w:color="auto"/>
                          </w:divBdr>
                          <w:divsChild>
                            <w:div w:id="1832526388">
                              <w:marLeft w:val="0"/>
                              <w:marRight w:val="0"/>
                              <w:marTop w:val="0"/>
                              <w:marBottom w:val="0"/>
                              <w:divBdr>
                                <w:top w:val="none" w:sz="0" w:space="0" w:color="auto"/>
                                <w:left w:val="none" w:sz="0" w:space="0" w:color="auto"/>
                                <w:bottom w:val="none" w:sz="0" w:space="0" w:color="auto"/>
                                <w:right w:val="none" w:sz="0" w:space="0" w:color="auto"/>
                              </w:divBdr>
                              <w:divsChild>
                                <w:div w:id="618800367">
                                  <w:marLeft w:val="0"/>
                                  <w:marRight w:val="0"/>
                                  <w:marTop w:val="0"/>
                                  <w:marBottom w:val="0"/>
                                  <w:divBdr>
                                    <w:top w:val="none" w:sz="0" w:space="0" w:color="auto"/>
                                    <w:left w:val="none" w:sz="0" w:space="0" w:color="auto"/>
                                    <w:bottom w:val="none" w:sz="0" w:space="0" w:color="auto"/>
                                    <w:right w:val="none" w:sz="0" w:space="0" w:color="auto"/>
                                  </w:divBdr>
                                  <w:divsChild>
                                    <w:div w:id="900408704">
                                      <w:marLeft w:val="0"/>
                                      <w:marRight w:val="0"/>
                                      <w:marTop w:val="0"/>
                                      <w:marBottom w:val="0"/>
                                      <w:divBdr>
                                        <w:top w:val="none" w:sz="0" w:space="0" w:color="auto"/>
                                        <w:left w:val="none" w:sz="0" w:space="0" w:color="auto"/>
                                        <w:bottom w:val="none" w:sz="0" w:space="0" w:color="auto"/>
                                        <w:right w:val="none" w:sz="0" w:space="0" w:color="auto"/>
                                      </w:divBdr>
                                      <w:divsChild>
                                        <w:div w:id="16390908">
                                          <w:marLeft w:val="0"/>
                                          <w:marRight w:val="0"/>
                                          <w:marTop w:val="0"/>
                                          <w:marBottom w:val="0"/>
                                          <w:divBdr>
                                            <w:top w:val="none" w:sz="0" w:space="0" w:color="auto"/>
                                            <w:left w:val="none" w:sz="0" w:space="0" w:color="auto"/>
                                            <w:bottom w:val="none" w:sz="0" w:space="0" w:color="auto"/>
                                            <w:right w:val="none" w:sz="0" w:space="0" w:color="auto"/>
                                          </w:divBdr>
                                          <w:divsChild>
                                            <w:div w:id="587348062">
                                              <w:marLeft w:val="0"/>
                                              <w:marRight w:val="0"/>
                                              <w:marTop w:val="0"/>
                                              <w:marBottom w:val="0"/>
                                              <w:divBdr>
                                                <w:top w:val="none" w:sz="0" w:space="0" w:color="auto"/>
                                                <w:left w:val="none" w:sz="0" w:space="0" w:color="auto"/>
                                                <w:bottom w:val="none" w:sz="0" w:space="0" w:color="auto"/>
                                                <w:right w:val="none" w:sz="0" w:space="0" w:color="auto"/>
                                              </w:divBdr>
                                              <w:divsChild>
                                                <w:div w:id="348801193">
                                                  <w:marLeft w:val="0"/>
                                                  <w:marRight w:val="0"/>
                                                  <w:marTop w:val="0"/>
                                                  <w:marBottom w:val="0"/>
                                                  <w:divBdr>
                                                    <w:top w:val="none" w:sz="0" w:space="0" w:color="auto"/>
                                                    <w:left w:val="none" w:sz="0" w:space="0" w:color="auto"/>
                                                    <w:bottom w:val="none" w:sz="0" w:space="0" w:color="auto"/>
                                                    <w:right w:val="none" w:sz="0" w:space="0" w:color="auto"/>
                                                  </w:divBdr>
                                                  <w:divsChild>
                                                    <w:div w:id="1574730724">
                                                      <w:marLeft w:val="0"/>
                                                      <w:marRight w:val="0"/>
                                                      <w:marTop w:val="0"/>
                                                      <w:marBottom w:val="0"/>
                                                      <w:divBdr>
                                                        <w:top w:val="none" w:sz="0" w:space="0" w:color="auto"/>
                                                        <w:left w:val="none" w:sz="0" w:space="0" w:color="auto"/>
                                                        <w:bottom w:val="none" w:sz="0" w:space="0" w:color="auto"/>
                                                        <w:right w:val="none" w:sz="0" w:space="0" w:color="auto"/>
                                                      </w:divBdr>
                                                      <w:divsChild>
                                                        <w:div w:id="1574505412">
                                                          <w:marLeft w:val="0"/>
                                                          <w:marRight w:val="0"/>
                                                          <w:marTop w:val="0"/>
                                                          <w:marBottom w:val="0"/>
                                                          <w:divBdr>
                                                            <w:top w:val="none" w:sz="0" w:space="0" w:color="auto"/>
                                                            <w:left w:val="none" w:sz="0" w:space="0" w:color="auto"/>
                                                            <w:bottom w:val="none" w:sz="0" w:space="0" w:color="auto"/>
                                                            <w:right w:val="none" w:sz="0" w:space="0" w:color="auto"/>
                                                          </w:divBdr>
                                                          <w:divsChild>
                                                            <w:div w:id="38522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64292764">
      <w:bodyDiv w:val="1"/>
      <w:marLeft w:val="0"/>
      <w:marRight w:val="0"/>
      <w:marTop w:val="0"/>
      <w:marBottom w:val="0"/>
      <w:divBdr>
        <w:top w:val="none" w:sz="0" w:space="0" w:color="auto"/>
        <w:left w:val="none" w:sz="0" w:space="0" w:color="auto"/>
        <w:bottom w:val="none" w:sz="0" w:space="0" w:color="auto"/>
        <w:right w:val="none" w:sz="0" w:space="0" w:color="auto"/>
      </w:divBdr>
    </w:div>
    <w:div w:id="1591936656">
      <w:bodyDiv w:val="1"/>
      <w:marLeft w:val="0"/>
      <w:marRight w:val="0"/>
      <w:marTop w:val="0"/>
      <w:marBottom w:val="0"/>
      <w:divBdr>
        <w:top w:val="none" w:sz="0" w:space="0" w:color="auto"/>
        <w:left w:val="none" w:sz="0" w:space="0" w:color="auto"/>
        <w:bottom w:val="none" w:sz="0" w:space="0" w:color="auto"/>
        <w:right w:val="none" w:sz="0" w:space="0" w:color="auto"/>
      </w:divBdr>
    </w:div>
    <w:div w:id="1609433340">
      <w:bodyDiv w:val="1"/>
      <w:marLeft w:val="0"/>
      <w:marRight w:val="0"/>
      <w:marTop w:val="0"/>
      <w:marBottom w:val="0"/>
      <w:divBdr>
        <w:top w:val="none" w:sz="0" w:space="0" w:color="auto"/>
        <w:left w:val="none" w:sz="0" w:space="0" w:color="auto"/>
        <w:bottom w:val="none" w:sz="0" w:space="0" w:color="auto"/>
        <w:right w:val="none" w:sz="0" w:space="0" w:color="auto"/>
      </w:divBdr>
      <w:divsChild>
        <w:div w:id="157501988">
          <w:marLeft w:val="547"/>
          <w:marRight w:val="0"/>
          <w:marTop w:val="0"/>
          <w:marBottom w:val="0"/>
          <w:divBdr>
            <w:top w:val="none" w:sz="0" w:space="0" w:color="auto"/>
            <w:left w:val="none" w:sz="0" w:space="0" w:color="auto"/>
            <w:bottom w:val="none" w:sz="0" w:space="0" w:color="auto"/>
            <w:right w:val="none" w:sz="0" w:space="0" w:color="auto"/>
          </w:divBdr>
        </w:div>
        <w:div w:id="195852387">
          <w:marLeft w:val="547"/>
          <w:marRight w:val="0"/>
          <w:marTop w:val="0"/>
          <w:marBottom w:val="0"/>
          <w:divBdr>
            <w:top w:val="none" w:sz="0" w:space="0" w:color="auto"/>
            <w:left w:val="none" w:sz="0" w:space="0" w:color="auto"/>
            <w:bottom w:val="none" w:sz="0" w:space="0" w:color="auto"/>
            <w:right w:val="none" w:sz="0" w:space="0" w:color="auto"/>
          </w:divBdr>
        </w:div>
        <w:div w:id="368651234">
          <w:marLeft w:val="547"/>
          <w:marRight w:val="0"/>
          <w:marTop w:val="0"/>
          <w:marBottom w:val="0"/>
          <w:divBdr>
            <w:top w:val="none" w:sz="0" w:space="0" w:color="auto"/>
            <w:left w:val="none" w:sz="0" w:space="0" w:color="auto"/>
            <w:bottom w:val="none" w:sz="0" w:space="0" w:color="auto"/>
            <w:right w:val="none" w:sz="0" w:space="0" w:color="auto"/>
          </w:divBdr>
        </w:div>
        <w:div w:id="510998253">
          <w:marLeft w:val="547"/>
          <w:marRight w:val="0"/>
          <w:marTop w:val="0"/>
          <w:marBottom w:val="0"/>
          <w:divBdr>
            <w:top w:val="none" w:sz="0" w:space="0" w:color="auto"/>
            <w:left w:val="none" w:sz="0" w:space="0" w:color="auto"/>
            <w:bottom w:val="none" w:sz="0" w:space="0" w:color="auto"/>
            <w:right w:val="none" w:sz="0" w:space="0" w:color="auto"/>
          </w:divBdr>
        </w:div>
        <w:div w:id="531193982">
          <w:marLeft w:val="547"/>
          <w:marRight w:val="0"/>
          <w:marTop w:val="0"/>
          <w:marBottom w:val="0"/>
          <w:divBdr>
            <w:top w:val="none" w:sz="0" w:space="0" w:color="auto"/>
            <w:left w:val="none" w:sz="0" w:space="0" w:color="auto"/>
            <w:bottom w:val="none" w:sz="0" w:space="0" w:color="auto"/>
            <w:right w:val="none" w:sz="0" w:space="0" w:color="auto"/>
          </w:divBdr>
        </w:div>
        <w:div w:id="648704388">
          <w:marLeft w:val="547"/>
          <w:marRight w:val="0"/>
          <w:marTop w:val="0"/>
          <w:marBottom w:val="0"/>
          <w:divBdr>
            <w:top w:val="none" w:sz="0" w:space="0" w:color="auto"/>
            <w:left w:val="none" w:sz="0" w:space="0" w:color="auto"/>
            <w:bottom w:val="none" w:sz="0" w:space="0" w:color="auto"/>
            <w:right w:val="none" w:sz="0" w:space="0" w:color="auto"/>
          </w:divBdr>
        </w:div>
        <w:div w:id="834036314">
          <w:marLeft w:val="547"/>
          <w:marRight w:val="0"/>
          <w:marTop w:val="0"/>
          <w:marBottom w:val="0"/>
          <w:divBdr>
            <w:top w:val="none" w:sz="0" w:space="0" w:color="auto"/>
            <w:left w:val="none" w:sz="0" w:space="0" w:color="auto"/>
            <w:bottom w:val="none" w:sz="0" w:space="0" w:color="auto"/>
            <w:right w:val="none" w:sz="0" w:space="0" w:color="auto"/>
          </w:divBdr>
        </w:div>
        <w:div w:id="1120106659">
          <w:marLeft w:val="547"/>
          <w:marRight w:val="0"/>
          <w:marTop w:val="0"/>
          <w:marBottom w:val="0"/>
          <w:divBdr>
            <w:top w:val="none" w:sz="0" w:space="0" w:color="auto"/>
            <w:left w:val="none" w:sz="0" w:space="0" w:color="auto"/>
            <w:bottom w:val="none" w:sz="0" w:space="0" w:color="auto"/>
            <w:right w:val="none" w:sz="0" w:space="0" w:color="auto"/>
          </w:divBdr>
        </w:div>
        <w:div w:id="1367834400">
          <w:marLeft w:val="547"/>
          <w:marRight w:val="0"/>
          <w:marTop w:val="0"/>
          <w:marBottom w:val="0"/>
          <w:divBdr>
            <w:top w:val="none" w:sz="0" w:space="0" w:color="auto"/>
            <w:left w:val="none" w:sz="0" w:space="0" w:color="auto"/>
            <w:bottom w:val="none" w:sz="0" w:space="0" w:color="auto"/>
            <w:right w:val="none" w:sz="0" w:space="0" w:color="auto"/>
          </w:divBdr>
        </w:div>
        <w:div w:id="1792482161">
          <w:marLeft w:val="547"/>
          <w:marRight w:val="0"/>
          <w:marTop w:val="0"/>
          <w:marBottom w:val="0"/>
          <w:divBdr>
            <w:top w:val="none" w:sz="0" w:space="0" w:color="auto"/>
            <w:left w:val="none" w:sz="0" w:space="0" w:color="auto"/>
            <w:bottom w:val="none" w:sz="0" w:space="0" w:color="auto"/>
            <w:right w:val="none" w:sz="0" w:space="0" w:color="auto"/>
          </w:divBdr>
        </w:div>
        <w:div w:id="1850488074">
          <w:marLeft w:val="547"/>
          <w:marRight w:val="0"/>
          <w:marTop w:val="0"/>
          <w:marBottom w:val="0"/>
          <w:divBdr>
            <w:top w:val="none" w:sz="0" w:space="0" w:color="auto"/>
            <w:left w:val="none" w:sz="0" w:space="0" w:color="auto"/>
            <w:bottom w:val="none" w:sz="0" w:space="0" w:color="auto"/>
            <w:right w:val="none" w:sz="0" w:space="0" w:color="auto"/>
          </w:divBdr>
        </w:div>
      </w:divsChild>
    </w:div>
    <w:div w:id="1617758177">
      <w:bodyDiv w:val="1"/>
      <w:marLeft w:val="0"/>
      <w:marRight w:val="0"/>
      <w:marTop w:val="0"/>
      <w:marBottom w:val="0"/>
      <w:divBdr>
        <w:top w:val="none" w:sz="0" w:space="0" w:color="auto"/>
        <w:left w:val="none" w:sz="0" w:space="0" w:color="auto"/>
        <w:bottom w:val="none" w:sz="0" w:space="0" w:color="auto"/>
        <w:right w:val="none" w:sz="0" w:space="0" w:color="auto"/>
      </w:divBdr>
    </w:div>
    <w:div w:id="1669553640">
      <w:bodyDiv w:val="1"/>
      <w:marLeft w:val="0"/>
      <w:marRight w:val="0"/>
      <w:marTop w:val="0"/>
      <w:marBottom w:val="0"/>
      <w:divBdr>
        <w:top w:val="none" w:sz="0" w:space="0" w:color="auto"/>
        <w:left w:val="none" w:sz="0" w:space="0" w:color="auto"/>
        <w:bottom w:val="none" w:sz="0" w:space="0" w:color="auto"/>
        <w:right w:val="none" w:sz="0" w:space="0" w:color="auto"/>
      </w:divBdr>
    </w:div>
    <w:div w:id="1683320548">
      <w:bodyDiv w:val="1"/>
      <w:marLeft w:val="0"/>
      <w:marRight w:val="0"/>
      <w:marTop w:val="0"/>
      <w:marBottom w:val="0"/>
      <w:divBdr>
        <w:top w:val="none" w:sz="0" w:space="0" w:color="auto"/>
        <w:left w:val="none" w:sz="0" w:space="0" w:color="auto"/>
        <w:bottom w:val="none" w:sz="0" w:space="0" w:color="auto"/>
        <w:right w:val="none" w:sz="0" w:space="0" w:color="auto"/>
      </w:divBdr>
    </w:div>
    <w:div w:id="1710449017">
      <w:bodyDiv w:val="1"/>
      <w:marLeft w:val="0"/>
      <w:marRight w:val="0"/>
      <w:marTop w:val="0"/>
      <w:marBottom w:val="0"/>
      <w:divBdr>
        <w:top w:val="none" w:sz="0" w:space="0" w:color="auto"/>
        <w:left w:val="none" w:sz="0" w:space="0" w:color="auto"/>
        <w:bottom w:val="none" w:sz="0" w:space="0" w:color="auto"/>
        <w:right w:val="none" w:sz="0" w:space="0" w:color="auto"/>
      </w:divBdr>
      <w:divsChild>
        <w:div w:id="1375348728">
          <w:marLeft w:val="0"/>
          <w:marRight w:val="0"/>
          <w:marTop w:val="0"/>
          <w:marBottom w:val="0"/>
          <w:divBdr>
            <w:top w:val="none" w:sz="0" w:space="0" w:color="auto"/>
            <w:left w:val="none" w:sz="0" w:space="0" w:color="auto"/>
            <w:bottom w:val="none" w:sz="0" w:space="0" w:color="auto"/>
            <w:right w:val="none" w:sz="0" w:space="0" w:color="auto"/>
          </w:divBdr>
          <w:divsChild>
            <w:div w:id="1774201057">
              <w:marLeft w:val="0"/>
              <w:marRight w:val="0"/>
              <w:marTop w:val="0"/>
              <w:marBottom w:val="0"/>
              <w:divBdr>
                <w:top w:val="none" w:sz="0" w:space="0" w:color="auto"/>
                <w:left w:val="none" w:sz="0" w:space="0" w:color="auto"/>
                <w:bottom w:val="none" w:sz="0" w:space="0" w:color="auto"/>
                <w:right w:val="none" w:sz="0" w:space="0" w:color="auto"/>
              </w:divBdr>
              <w:divsChild>
                <w:div w:id="648293882">
                  <w:marLeft w:val="0"/>
                  <w:marRight w:val="0"/>
                  <w:marTop w:val="0"/>
                  <w:marBottom w:val="0"/>
                  <w:divBdr>
                    <w:top w:val="none" w:sz="0" w:space="0" w:color="auto"/>
                    <w:left w:val="none" w:sz="0" w:space="0" w:color="auto"/>
                    <w:bottom w:val="none" w:sz="0" w:space="0" w:color="auto"/>
                    <w:right w:val="none" w:sz="0" w:space="0" w:color="auto"/>
                  </w:divBdr>
                  <w:divsChild>
                    <w:div w:id="1147091733">
                      <w:marLeft w:val="0"/>
                      <w:marRight w:val="0"/>
                      <w:marTop w:val="0"/>
                      <w:marBottom w:val="0"/>
                      <w:divBdr>
                        <w:top w:val="none" w:sz="0" w:space="0" w:color="auto"/>
                        <w:left w:val="none" w:sz="0" w:space="0" w:color="auto"/>
                        <w:bottom w:val="none" w:sz="0" w:space="0" w:color="auto"/>
                        <w:right w:val="none" w:sz="0" w:space="0" w:color="auto"/>
                      </w:divBdr>
                      <w:divsChild>
                        <w:div w:id="1222668618">
                          <w:marLeft w:val="0"/>
                          <w:marRight w:val="0"/>
                          <w:marTop w:val="0"/>
                          <w:marBottom w:val="0"/>
                          <w:divBdr>
                            <w:top w:val="none" w:sz="0" w:space="0" w:color="auto"/>
                            <w:left w:val="none" w:sz="0" w:space="0" w:color="auto"/>
                            <w:bottom w:val="none" w:sz="0" w:space="0" w:color="auto"/>
                            <w:right w:val="none" w:sz="0" w:space="0" w:color="auto"/>
                          </w:divBdr>
                          <w:divsChild>
                            <w:div w:id="1517188933">
                              <w:marLeft w:val="0"/>
                              <w:marRight w:val="0"/>
                              <w:marTop w:val="0"/>
                              <w:marBottom w:val="0"/>
                              <w:divBdr>
                                <w:top w:val="none" w:sz="0" w:space="0" w:color="auto"/>
                                <w:left w:val="none" w:sz="0" w:space="0" w:color="auto"/>
                                <w:bottom w:val="none" w:sz="0" w:space="0" w:color="auto"/>
                                <w:right w:val="none" w:sz="0" w:space="0" w:color="auto"/>
                              </w:divBdr>
                              <w:divsChild>
                                <w:div w:id="1847477015">
                                  <w:marLeft w:val="0"/>
                                  <w:marRight w:val="0"/>
                                  <w:marTop w:val="0"/>
                                  <w:marBottom w:val="0"/>
                                  <w:divBdr>
                                    <w:top w:val="none" w:sz="0" w:space="0" w:color="auto"/>
                                    <w:left w:val="none" w:sz="0" w:space="0" w:color="auto"/>
                                    <w:bottom w:val="none" w:sz="0" w:space="0" w:color="auto"/>
                                    <w:right w:val="none" w:sz="0" w:space="0" w:color="auto"/>
                                  </w:divBdr>
                                  <w:divsChild>
                                    <w:div w:id="794445348">
                                      <w:marLeft w:val="0"/>
                                      <w:marRight w:val="0"/>
                                      <w:marTop w:val="0"/>
                                      <w:marBottom w:val="0"/>
                                      <w:divBdr>
                                        <w:top w:val="none" w:sz="0" w:space="0" w:color="auto"/>
                                        <w:left w:val="none" w:sz="0" w:space="0" w:color="auto"/>
                                        <w:bottom w:val="none" w:sz="0" w:space="0" w:color="auto"/>
                                        <w:right w:val="none" w:sz="0" w:space="0" w:color="auto"/>
                                      </w:divBdr>
                                      <w:divsChild>
                                        <w:div w:id="97065086">
                                          <w:marLeft w:val="0"/>
                                          <w:marRight w:val="0"/>
                                          <w:marTop w:val="0"/>
                                          <w:marBottom w:val="0"/>
                                          <w:divBdr>
                                            <w:top w:val="none" w:sz="0" w:space="0" w:color="auto"/>
                                            <w:left w:val="none" w:sz="0" w:space="0" w:color="auto"/>
                                            <w:bottom w:val="none" w:sz="0" w:space="0" w:color="auto"/>
                                            <w:right w:val="none" w:sz="0" w:space="0" w:color="auto"/>
                                          </w:divBdr>
                                          <w:divsChild>
                                            <w:div w:id="737098332">
                                              <w:marLeft w:val="0"/>
                                              <w:marRight w:val="0"/>
                                              <w:marTop w:val="0"/>
                                              <w:marBottom w:val="0"/>
                                              <w:divBdr>
                                                <w:top w:val="none" w:sz="0" w:space="0" w:color="auto"/>
                                                <w:left w:val="none" w:sz="0" w:space="0" w:color="auto"/>
                                                <w:bottom w:val="none" w:sz="0" w:space="0" w:color="auto"/>
                                                <w:right w:val="none" w:sz="0" w:space="0" w:color="auto"/>
                                              </w:divBdr>
                                              <w:divsChild>
                                                <w:div w:id="426771611">
                                                  <w:marLeft w:val="0"/>
                                                  <w:marRight w:val="0"/>
                                                  <w:marTop w:val="0"/>
                                                  <w:marBottom w:val="0"/>
                                                  <w:divBdr>
                                                    <w:top w:val="none" w:sz="0" w:space="0" w:color="auto"/>
                                                    <w:left w:val="none" w:sz="0" w:space="0" w:color="auto"/>
                                                    <w:bottom w:val="none" w:sz="0" w:space="0" w:color="auto"/>
                                                    <w:right w:val="none" w:sz="0" w:space="0" w:color="auto"/>
                                                  </w:divBdr>
                                                  <w:divsChild>
                                                    <w:div w:id="777412098">
                                                      <w:marLeft w:val="0"/>
                                                      <w:marRight w:val="0"/>
                                                      <w:marTop w:val="0"/>
                                                      <w:marBottom w:val="0"/>
                                                      <w:divBdr>
                                                        <w:top w:val="none" w:sz="0" w:space="0" w:color="auto"/>
                                                        <w:left w:val="none" w:sz="0" w:space="0" w:color="auto"/>
                                                        <w:bottom w:val="none" w:sz="0" w:space="0" w:color="auto"/>
                                                        <w:right w:val="none" w:sz="0" w:space="0" w:color="auto"/>
                                                      </w:divBdr>
                                                      <w:divsChild>
                                                        <w:div w:id="853879642">
                                                          <w:marLeft w:val="0"/>
                                                          <w:marRight w:val="0"/>
                                                          <w:marTop w:val="0"/>
                                                          <w:marBottom w:val="0"/>
                                                          <w:divBdr>
                                                            <w:top w:val="none" w:sz="0" w:space="0" w:color="auto"/>
                                                            <w:left w:val="none" w:sz="0" w:space="0" w:color="auto"/>
                                                            <w:bottom w:val="none" w:sz="0" w:space="0" w:color="auto"/>
                                                            <w:right w:val="none" w:sz="0" w:space="0" w:color="auto"/>
                                                          </w:divBdr>
                                                          <w:divsChild>
                                                            <w:div w:id="183613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80223290">
      <w:bodyDiv w:val="1"/>
      <w:marLeft w:val="0"/>
      <w:marRight w:val="0"/>
      <w:marTop w:val="0"/>
      <w:marBottom w:val="0"/>
      <w:divBdr>
        <w:top w:val="none" w:sz="0" w:space="0" w:color="auto"/>
        <w:left w:val="none" w:sz="0" w:space="0" w:color="auto"/>
        <w:bottom w:val="none" w:sz="0" w:space="0" w:color="auto"/>
        <w:right w:val="none" w:sz="0" w:space="0" w:color="auto"/>
      </w:divBdr>
      <w:divsChild>
        <w:div w:id="553851158">
          <w:marLeft w:val="0"/>
          <w:marRight w:val="0"/>
          <w:marTop w:val="0"/>
          <w:marBottom w:val="0"/>
          <w:divBdr>
            <w:top w:val="none" w:sz="0" w:space="0" w:color="auto"/>
            <w:left w:val="none" w:sz="0" w:space="0" w:color="auto"/>
            <w:bottom w:val="none" w:sz="0" w:space="0" w:color="auto"/>
            <w:right w:val="none" w:sz="0" w:space="0" w:color="auto"/>
          </w:divBdr>
          <w:divsChild>
            <w:div w:id="1349526701">
              <w:marLeft w:val="0"/>
              <w:marRight w:val="0"/>
              <w:marTop w:val="0"/>
              <w:marBottom w:val="0"/>
              <w:divBdr>
                <w:top w:val="none" w:sz="0" w:space="0" w:color="auto"/>
                <w:left w:val="none" w:sz="0" w:space="0" w:color="auto"/>
                <w:bottom w:val="none" w:sz="0" w:space="0" w:color="auto"/>
                <w:right w:val="none" w:sz="0" w:space="0" w:color="auto"/>
              </w:divBdr>
              <w:divsChild>
                <w:div w:id="1520310386">
                  <w:marLeft w:val="0"/>
                  <w:marRight w:val="0"/>
                  <w:marTop w:val="0"/>
                  <w:marBottom w:val="0"/>
                  <w:divBdr>
                    <w:top w:val="none" w:sz="0" w:space="0" w:color="auto"/>
                    <w:left w:val="none" w:sz="0" w:space="0" w:color="auto"/>
                    <w:bottom w:val="none" w:sz="0" w:space="0" w:color="auto"/>
                    <w:right w:val="none" w:sz="0" w:space="0" w:color="auto"/>
                  </w:divBdr>
                  <w:divsChild>
                    <w:div w:id="1373731801">
                      <w:marLeft w:val="0"/>
                      <w:marRight w:val="0"/>
                      <w:marTop w:val="0"/>
                      <w:marBottom w:val="0"/>
                      <w:divBdr>
                        <w:top w:val="none" w:sz="0" w:space="0" w:color="auto"/>
                        <w:left w:val="none" w:sz="0" w:space="0" w:color="auto"/>
                        <w:bottom w:val="none" w:sz="0" w:space="0" w:color="auto"/>
                        <w:right w:val="none" w:sz="0" w:space="0" w:color="auto"/>
                      </w:divBdr>
                      <w:divsChild>
                        <w:div w:id="1267612154">
                          <w:marLeft w:val="0"/>
                          <w:marRight w:val="0"/>
                          <w:marTop w:val="0"/>
                          <w:marBottom w:val="0"/>
                          <w:divBdr>
                            <w:top w:val="none" w:sz="0" w:space="0" w:color="auto"/>
                            <w:left w:val="none" w:sz="0" w:space="0" w:color="auto"/>
                            <w:bottom w:val="none" w:sz="0" w:space="0" w:color="auto"/>
                            <w:right w:val="none" w:sz="0" w:space="0" w:color="auto"/>
                          </w:divBdr>
                          <w:divsChild>
                            <w:div w:id="1855147556">
                              <w:marLeft w:val="0"/>
                              <w:marRight w:val="0"/>
                              <w:marTop w:val="0"/>
                              <w:marBottom w:val="0"/>
                              <w:divBdr>
                                <w:top w:val="none" w:sz="0" w:space="0" w:color="auto"/>
                                <w:left w:val="none" w:sz="0" w:space="0" w:color="auto"/>
                                <w:bottom w:val="none" w:sz="0" w:space="0" w:color="auto"/>
                                <w:right w:val="none" w:sz="0" w:space="0" w:color="auto"/>
                              </w:divBdr>
                              <w:divsChild>
                                <w:div w:id="1040671156">
                                  <w:marLeft w:val="0"/>
                                  <w:marRight w:val="0"/>
                                  <w:marTop w:val="0"/>
                                  <w:marBottom w:val="0"/>
                                  <w:divBdr>
                                    <w:top w:val="none" w:sz="0" w:space="0" w:color="auto"/>
                                    <w:left w:val="none" w:sz="0" w:space="0" w:color="auto"/>
                                    <w:bottom w:val="none" w:sz="0" w:space="0" w:color="auto"/>
                                    <w:right w:val="none" w:sz="0" w:space="0" w:color="auto"/>
                                  </w:divBdr>
                                  <w:divsChild>
                                    <w:div w:id="692531689">
                                      <w:marLeft w:val="0"/>
                                      <w:marRight w:val="0"/>
                                      <w:marTop w:val="0"/>
                                      <w:marBottom w:val="0"/>
                                      <w:divBdr>
                                        <w:top w:val="none" w:sz="0" w:space="0" w:color="auto"/>
                                        <w:left w:val="none" w:sz="0" w:space="0" w:color="auto"/>
                                        <w:bottom w:val="none" w:sz="0" w:space="0" w:color="auto"/>
                                        <w:right w:val="none" w:sz="0" w:space="0" w:color="auto"/>
                                      </w:divBdr>
                                      <w:divsChild>
                                        <w:div w:id="1920407324">
                                          <w:marLeft w:val="0"/>
                                          <w:marRight w:val="0"/>
                                          <w:marTop w:val="0"/>
                                          <w:marBottom w:val="0"/>
                                          <w:divBdr>
                                            <w:top w:val="none" w:sz="0" w:space="0" w:color="auto"/>
                                            <w:left w:val="none" w:sz="0" w:space="0" w:color="auto"/>
                                            <w:bottom w:val="none" w:sz="0" w:space="0" w:color="auto"/>
                                            <w:right w:val="none" w:sz="0" w:space="0" w:color="auto"/>
                                          </w:divBdr>
                                          <w:divsChild>
                                            <w:div w:id="507793290">
                                              <w:marLeft w:val="0"/>
                                              <w:marRight w:val="0"/>
                                              <w:marTop w:val="0"/>
                                              <w:marBottom w:val="0"/>
                                              <w:divBdr>
                                                <w:top w:val="none" w:sz="0" w:space="0" w:color="auto"/>
                                                <w:left w:val="none" w:sz="0" w:space="0" w:color="auto"/>
                                                <w:bottom w:val="none" w:sz="0" w:space="0" w:color="auto"/>
                                                <w:right w:val="none" w:sz="0" w:space="0" w:color="auto"/>
                                              </w:divBdr>
                                              <w:divsChild>
                                                <w:div w:id="148637477">
                                                  <w:marLeft w:val="0"/>
                                                  <w:marRight w:val="0"/>
                                                  <w:marTop w:val="0"/>
                                                  <w:marBottom w:val="0"/>
                                                  <w:divBdr>
                                                    <w:top w:val="none" w:sz="0" w:space="0" w:color="auto"/>
                                                    <w:left w:val="none" w:sz="0" w:space="0" w:color="auto"/>
                                                    <w:bottom w:val="none" w:sz="0" w:space="0" w:color="auto"/>
                                                    <w:right w:val="none" w:sz="0" w:space="0" w:color="auto"/>
                                                  </w:divBdr>
                                                  <w:divsChild>
                                                    <w:div w:id="592862898">
                                                      <w:marLeft w:val="0"/>
                                                      <w:marRight w:val="0"/>
                                                      <w:marTop w:val="0"/>
                                                      <w:marBottom w:val="0"/>
                                                      <w:divBdr>
                                                        <w:top w:val="none" w:sz="0" w:space="0" w:color="auto"/>
                                                        <w:left w:val="none" w:sz="0" w:space="0" w:color="auto"/>
                                                        <w:bottom w:val="none" w:sz="0" w:space="0" w:color="auto"/>
                                                        <w:right w:val="none" w:sz="0" w:space="0" w:color="auto"/>
                                                      </w:divBdr>
                                                      <w:divsChild>
                                                        <w:div w:id="347566099">
                                                          <w:marLeft w:val="0"/>
                                                          <w:marRight w:val="0"/>
                                                          <w:marTop w:val="0"/>
                                                          <w:marBottom w:val="0"/>
                                                          <w:divBdr>
                                                            <w:top w:val="none" w:sz="0" w:space="0" w:color="auto"/>
                                                            <w:left w:val="none" w:sz="0" w:space="0" w:color="auto"/>
                                                            <w:bottom w:val="none" w:sz="0" w:space="0" w:color="auto"/>
                                                            <w:right w:val="none" w:sz="0" w:space="0" w:color="auto"/>
                                                          </w:divBdr>
                                                          <w:divsChild>
                                                            <w:div w:id="128465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82989192">
      <w:bodyDiv w:val="1"/>
      <w:marLeft w:val="0"/>
      <w:marRight w:val="0"/>
      <w:marTop w:val="0"/>
      <w:marBottom w:val="0"/>
      <w:divBdr>
        <w:top w:val="none" w:sz="0" w:space="0" w:color="auto"/>
        <w:left w:val="none" w:sz="0" w:space="0" w:color="auto"/>
        <w:bottom w:val="none" w:sz="0" w:space="0" w:color="auto"/>
        <w:right w:val="none" w:sz="0" w:space="0" w:color="auto"/>
      </w:divBdr>
    </w:div>
    <w:div w:id="1876849522">
      <w:bodyDiv w:val="1"/>
      <w:marLeft w:val="0"/>
      <w:marRight w:val="0"/>
      <w:marTop w:val="0"/>
      <w:marBottom w:val="0"/>
      <w:divBdr>
        <w:top w:val="none" w:sz="0" w:space="0" w:color="auto"/>
        <w:left w:val="none" w:sz="0" w:space="0" w:color="auto"/>
        <w:bottom w:val="none" w:sz="0" w:space="0" w:color="auto"/>
        <w:right w:val="none" w:sz="0" w:space="0" w:color="auto"/>
      </w:divBdr>
    </w:div>
    <w:div w:id="1902212188">
      <w:bodyDiv w:val="1"/>
      <w:marLeft w:val="0"/>
      <w:marRight w:val="0"/>
      <w:marTop w:val="0"/>
      <w:marBottom w:val="0"/>
      <w:divBdr>
        <w:top w:val="none" w:sz="0" w:space="0" w:color="auto"/>
        <w:left w:val="none" w:sz="0" w:space="0" w:color="auto"/>
        <w:bottom w:val="none" w:sz="0" w:space="0" w:color="auto"/>
        <w:right w:val="none" w:sz="0" w:space="0" w:color="auto"/>
      </w:divBdr>
    </w:div>
    <w:div w:id="1948803995">
      <w:bodyDiv w:val="1"/>
      <w:marLeft w:val="0"/>
      <w:marRight w:val="0"/>
      <w:marTop w:val="0"/>
      <w:marBottom w:val="0"/>
      <w:divBdr>
        <w:top w:val="none" w:sz="0" w:space="0" w:color="auto"/>
        <w:left w:val="none" w:sz="0" w:space="0" w:color="auto"/>
        <w:bottom w:val="none" w:sz="0" w:space="0" w:color="auto"/>
        <w:right w:val="none" w:sz="0" w:space="0" w:color="auto"/>
      </w:divBdr>
    </w:div>
    <w:div w:id="1955094810">
      <w:bodyDiv w:val="1"/>
      <w:marLeft w:val="0"/>
      <w:marRight w:val="0"/>
      <w:marTop w:val="0"/>
      <w:marBottom w:val="0"/>
      <w:divBdr>
        <w:top w:val="none" w:sz="0" w:space="0" w:color="auto"/>
        <w:left w:val="none" w:sz="0" w:space="0" w:color="auto"/>
        <w:bottom w:val="none" w:sz="0" w:space="0" w:color="auto"/>
        <w:right w:val="none" w:sz="0" w:space="0" w:color="auto"/>
      </w:divBdr>
      <w:divsChild>
        <w:div w:id="450322925">
          <w:marLeft w:val="0"/>
          <w:marRight w:val="0"/>
          <w:marTop w:val="0"/>
          <w:marBottom w:val="0"/>
          <w:divBdr>
            <w:top w:val="none" w:sz="0" w:space="0" w:color="auto"/>
            <w:left w:val="none" w:sz="0" w:space="0" w:color="auto"/>
            <w:bottom w:val="none" w:sz="0" w:space="0" w:color="auto"/>
            <w:right w:val="none" w:sz="0" w:space="0" w:color="auto"/>
          </w:divBdr>
          <w:divsChild>
            <w:div w:id="1030839363">
              <w:marLeft w:val="0"/>
              <w:marRight w:val="0"/>
              <w:marTop w:val="0"/>
              <w:marBottom w:val="0"/>
              <w:divBdr>
                <w:top w:val="none" w:sz="0" w:space="0" w:color="auto"/>
                <w:left w:val="none" w:sz="0" w:space="0" w:color="auto"/>
                <w:bottom w:val="none" w:sz="0" w:space="0" w:color="auto"/>
                <w:right w:val="none" w:sz="0" w:space="0" w:color="auto"/>
              </w:divBdr>
              <w:divsChild>
                <w:div w:id="58872929">
                  <w:marLeft w:val="0"/>
                  <w:marRight w:val="0"/>
                  <w:marTop w:val="0"/>
                  <w:marBottom w:val="0"/>
                  <w:divBdr>
                    <w:top w:val="none" w:sz="0" w:space="0" w:color="auto"/>
                    <w:left w:val="none" w:sz="0" w:space="0" w:color="auto"/>
                    <w:bottom w:val="none" w:sz="0" w:space="0" w:color="auto"/>
                    <w:right w:val="none" w:sz="0" w:space="0" w:color="auto"/>
                  </w:divBdr>
                  <w:divsChild>
                    <w:div w:id="1868445670">
                      <w:marLeft w:val="0"/>
                      <w:marRight w:val="0"/>
                      <w:marTop w:val="0"/>
                      <w:marBottom w:val="0"/>
                      <w:divBdr>
                        <w:top w:val="none" w:sz="0" w:space="0" w:color="auto"/>
                        <w:left w:val="none" w:sz="0" w:space="0" w:color="auto"/>
                        <w:bottom w:val="none" w:sz="0" w:space="0" w:color="auto"/>
                        <w:right w:val="none" w:sz="0" w:space="0" w:color="auto"/>
                      </w:divBdr>
                      <w:divsChild>
                        <w:div w:id="2048555206">
                          <w:marLeft w:val="0"/>
                          <w:marRight w:val="0"/>
                          <w:marTop w:val="0"/>
                          <w:marBottom w:val="0"/>
                          <w:divBdr>
                            <w:top w:val="none" w:sz="0" w:space="0" w:color="auto"/>
                            <w:left w:val="none" w:sz="0" w:space="0" w:color="auto"/>
                            <w:bottom w:val="none" w:sz="0" w:space="0" w:color="auto"/>
                            <w:right w:val="none" w:sz="0" w:space="0" w:color="auto"/>
                          </w:divBdr>
                          <w:divsChild>
                            <w:div w:id="481386876">
                              <w:marLeft w:val="0"/>
                              <w:marRight w:val="0"/>
                              <w:marTop w:val="0"/>
                              <w:marBottom w:val="0"/>
                              <w:divBdr>
                                <w:top w:val="none" w:sz="0" w:space="0" w:color="auto"/>
                                <w:left w:val="none" w:sz="0" w:space="0" w:color="auto"/>
                                <w:bottom w:val="none" w:sz="0" w:space="0" w:color="auto"/>
                                <w:right w:val="none" w:sz="0" w:space="0" w:color="auto"/>
                              </w:divBdr>
                              <w:divsChild>
                                <w:div w:id="665942846">
                                  <w:marLeft w:val="0"/>
                                  <w:marRight w:val="0"/>
                                  <w:marTop w:val="0"/>
                                  <w:marBottom w:val="0"/>
                                  <w:divBdr>
                                    <w:top w:val="none" w:sz="0" w:space="0" w:color="auto"/>
                                    <w:left w:val="none" w:sz="0" w:space="0" w:color="auto"/>
                                    <w:bottom w:val="none" w:sz="0" w:space="0" w:color="auto"/>
                                    <w:right w:val="none" w:sz="0" w:space="0" w:color="auto"/>
                                  </w:divBdr>
                                  <w:divsChild>
                                    <w:div w:id="1978685494">
                                      <w:marLeft w:val="0"/>
                                      <w:marRight w:val="0"/>
                                      <w:marTop w:val="0"/>
                                      <w:marBottom w:val="0"/>
                                      <w:divBdr>
                                        <w:top w:val="none" w:sz="0" w:space="0" w:color="auto"/>
                                        <w:left w:val="none" w:sz="0" w:space="0" w:color="auto"/>
                                        <w:bottom w:val="none" w:sz="0" w:space="0" w:color="auto"/>
                                        <w:right w:val="none" w:sz="0" w:space="0" w:color="auto"/>
                                      </w:divBdr>
                                      <w:divsChild>
                                        <w:div w:id="1572930413">
                                          <w:marLeft w:val="0"/>
                                          <w:marRight w:val="0"/>
                                          <w:marTop w:val="0"/>
                                          <w:marBottom w:val="0"/>
                                          <w:divBdr>
                                            <w:top w:val="none" w:sz="0" w:space="0" w:color="auto"/>
                                            <w:left w:val="none" w:sz="0" w:space="0" w:color="auto"/>
                                            <w:bottom w:val="none" w:sz="0" w:space="0" w:color="auto"/>
                                            <w:right w:val="none" w:sz="0" w:space="0" w:color="auto"/>
                                          </w:divBdr>
                                          <w:divsChild>
                                            <w:div w:id="2137328023">
                                              <w:marLeft w:val="0"/>
                                              <w:marRight w:val="0"/>
                                              <w:marTop w:val="0"/>
                                              <w:marBottom w:val="0"/>
                                              <w:divBdr>
                                                <w:top w:val="none" w:sz="0" w:space="0" w:color="auto"/>
                                                <w:left w:val="none" w:sz="0" w:space="0" w:color="auto"/>
                                                <w:bottom w:val="none" w:sz="0" w:space="0" w:color="auto"/>
                                                <w:right w:val="none" w:sz="0" w:space="0" w:color="auto"/>
                                              </w:divBdr>
                                              <w:divsChild>
                                                <w:div w:id="69927966">
                                                  <w:marLeft w:val="0"/>
                                                  <w:marRight w:val="0"/>
                                                  <w:marTop w:val="0"/>
                                                  <w:marBottom w:val="0"/>
                                                  <w:divBdr>
                                                    <w:top w:val="none" w:sz="0" w:space="0" w:color="auto"/>
                                                    <w:left w:val="none" w:sz="0" w:space="0" w:color="auto"/>
                                                    <w:bottom w:val="none" w:sz="0" w:space="0" w:color="auto"/>
                                                    <w:right w:val="none" w:sz="0" w:space="0" w:color="auto"/>
                                                  </w:divBdr>
                                                  <w:divsChild>
                                                    <w:div w:id="933125837">
                                                      <w:marLeft w:val="0"/>
                                                      <w:marRight w:val="0"/>
                                                      <w:marTop w:val="0"/>
                                                      <w:marBottom w:val="0"/>
                                                      <w:divBdr>
                                                        <w:top w:val="none" w:sz="0" w:space="0" w:color="auto"/>
                                                        <w:left w:val="none" w:sz="0" w:space="0" w:color="auto"/>
                                                        <w:bottom w:val="none" w:sz="0" w:space="0" w:color="auto"/>
                                                        <w:right w:val="none" w:sz="0" w:space="0" w:color="auto"/>
                                                      </w:divBdr>
                                                      <w:divsChild>
                                                        <w:div w:id="130758074">
                                                          <w:marLeft w:val="0"/>
                                                          <w:marRight w:val="0"/>
                                                          <w:marTop w:val="0"/>
                                                          <w:marBottom w:val="0"/>
                                                          <w:divBdr>
                                                            <w:top w:val="none" w:sz="0" w:space="0" w:color="auto"/>
                                                            <w:left w:val="none" w:sz="0" w:space="0" w:color="auto"/>
                                                            <w:bottom w:val="none" w:sz="0" w:space="0" w:color="auto"/>
                                                            <w:right w:val="none" w:sz="0" w:space="0" w:color="auto"/>
                                                          </w:divBdr>
                                                          <w:divsChild>
                                                            <w:div w:id="200435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55400347">
      <w:bodyDiv w:val="1"/>
      <w:marLeft w:val="0"/>
      <w:marRight w:val="0"/>
      <w:marTop w:val="0"/>
      <w:marBottom w:val="0"/>
      <w:divBdr>
        <w:top w:val="none" w:sz="0" w:space="0" w:color="auto"/>
        <w:left w:val="none" w:sz="0" w:space="0" w:color="auto"/>
        <w:bottom w:val="none" w:sz="0" w:space="0" w:color="auto"/>
        <w:right w:val="none" w:sz="0" w:space="0" w:color="auto"/>
      </w:divBdr>
    </w:div>
    <w:div w:id="1988123052">
      <w:bodyDiv w:val="1"/>
      <w:marLeft w:val="0"/>
      <w:marRight w:val="0"/>
      <w:marTop w:val="0"/>
      <w:marBottom w:val="0"/>
      <w:divBdr>
        <w:top w:val="none" w:sz="0" w:space="0" w:color="auto"/>
        <w:left w:val="none" w:sz="0" w:space="0" w:color="auto"/>
        <w:bottom w:val="none" w:sz="0" w:space="0" w:color="auto"/>
        <w:right w:val="none" w:sz="0" w:space="0" w:color="auto"/>
      </w:divBdr>
      <w:divsChild>
        <w:div w:id="1014919866">
          <w:marLeft w:val="0"/>
          <w:marRight w:val="0"/>
          <w:marTop w:val="0"/>
          <w:marBottom w:val="0"/>
          <w:divBdr>
            <w:top w:val="none" w:sz="0" w:space="0" w:color="auto"/>
            <w:left w:val="none" w:sz="0" w:space="0" w:color="auto"/>
            <w:bottom w:val="none" w:sz="0" w:space="0" w:color="auto"/>
            <w:right w:val="none" w:sz="0" w:space="0" w:color="auto"/>
          </w:divBdr>
          <w:divsChild>
            <w:div w:id="1643266931">
              <w:marLeft w:val="0"/>
              <w:marRight w:val="0"/>
              <w:marTop w:val="0"/>
              <w:marBottom w:val="0"/>
              <w:divBdr>
                <w:top w:val="none" w:sz="0" w:space="0" w:color="auto"/>
                <w:left w:val="none" w:sz="0" w:space="0" w:color="auto"/>
                <w:bottom w:val="none" w:sz="0" w:space="0" w:color="auto"/>
                <w:right w:val="none" w:sz="0" w:space="0" w:color="auto"/>
              </w:divBdr>
              <w:divsChild>
                <w:div w:id="189877496">
                  <w:marLeft w:val="0"/>
                  <w:marRight w:val="0"/>
                  <w:marTop w:val="0"/>
                  <w:marBottom w:val="0"/>
                  <w:divBdr>
                    <w:top w:val="none" w:sz="0" w:space="0" w:color="auto"/>
                    <w:left w:val="none" w:sz="0" w:space="0" w:color="auto"/>
                    <w:bottom w:val="none" w:sz="0" w:space="0" w:color="auto"/>
                    <w:right w:val="none" w:sz="0" w:space="0" w:color="auto"/>
                  </w:divBdr>
                  <w:divsChild>
                    <w:div w:id="1416394927">
                      <w:marLeft w:val="0"/>
                      <w:marRight w:val="0"/>
                      <w:marTop w:val="0"/>
                      <w:marBottom w:val="0"/>
                      <w:divBdr>
                        <w:top w:val="none" w:sz="0" w:space="0" w:color="auto"/>
                        <w:left w:val="none" w:sz="0" w:space="0" w:color="auto"/>
                        <w:bottom w:val="none" w:sz="0" w:space="0" w:color="auto"/>
                        <w:right w:val="none" w:sz="0" w:space="0" w:color="auto"/>
                      </w:divBdr>
                      <w:divsChild>
                        <w:div w:id="1310549615">
                          <w:marLeft w:val="0"/>
                          <w:marRight w:val="0"/>
                          <w:marTop w:val="0"/>
                          <w:marBottom w:val="0"/>
                          <w:divBdr>
                            <w:top w:val="none" w:sz="0" w:space="0" w:color="auto"/>
                            <w:left w:val="none" w:sz="0" w:space="0" w:color="auto"/>
                            <w:bottom w:val="none" w:sz="0" w:space="0" w:color="auto"/>
                            <w:right w:val="none" w:sz="0" w:space="0" w:color="auto"/>
                          </w:divBdr>
                          <w:divsChild>
                            <w:div w:id="1259682168">
                              <w:marLeft w:val="0"/>
                              <w:marRight w:val="0"/>
                              <w:marTop w:val="0"/>
                              <w:marBottom w:val="0"/>
                              <w:divBdr>
                                <w:top w:val="none" w:sz="0" w:space="0" w:color="auto"/>
                                <w:left w:val="none" w:sz="0" w:space="0" w:color="auto"/>
                                <w:bottom w:val="none" w:sz="0" w:space="0" w:color="auto"/>
                                <w:right w:val="none" w:sz="0" w:space="0" w:color="auto"/>
                              </w:divBdr>
                              <w:divsChild>
                                <w:div w:id="1849363582">
                                  <w:marLeft w:val="0"/>
                                  <w:marRight w:val="0"/>
                                  <w:marTop w:val="0"/>
                                  <w:marBottom w:val="0"/>
                                  <w:divBdr>
                                    <w:top w:val="none" w:sz="0" w:space="0" w:color="auto"/>
                                    <w:left w:val="none" w:sz="0" w:space="0" w:color="auto"/>
                                    <w:bottom w:val="none" w:sz="0" w:space="0" w:color="auto"/>
                                    <w:right w:val="none" w:sz="0" w:space="0" w:color="auto"/>
                                  </w:divBdr>
                                  <w:divsChild>
                                    <w:div w:id="1161655574">
                                      <w:marLeft w:val="0"/>
                                      <w:marRight w:val="0"/>
                                      <w:marTop w:val="0"/>
                                      <w:marBottom w:val="0"/>
                                      <w:divBdr>
                                        <w:top w:val="none" w:sz="0" w:space="0" w:color="auto"/>
                                        <w:left w:val="none" w:sz="0" w:space="0" w:color="auto"/>
                                        <w:bottom w:val="none" w:sz="0" w:space="0" w:color="auto"/>
                                        <w:right w:val="none" w:sz="0" w:space="0" w:color="auto"/>
                                      </w:divBdr>
                                      <w:divsChild>
                                        <w:div w:id="768545204">
                                          <w:marLeft w:val="0"/>
                                          <w:marRight w:val="0"/>
                                          <w:marTop w:val="0"/>
                                          <w:marBottom w:val="0"/>
                                          <w:divBdr>
                                            <w:top w:val="none" w:sz="0" w:space="0" w:color="auto"/>
                                            <w:left w:val="none" w:sz="0" w:space="0" w:color="auto"/>
                                            <w:bottom w:val="none" w:sz="0" w:space="0" w:color="auto"/>
                                            <w:right w:val="none" w:sz="0" w:space="0" w:color="auto"/>
                                          </w:divBdr>
                                          <w:divsChild>
                                            <w:div w:id="1112631261">
                                              <w:marLeft w:val="0"/>
                                              <w:marRight w:val="0"/>
                                              <w:marTop w:val="0"/>
                                              <w:marBottom w:val="0"/>
                                              <w:divBdr>
                                                <w:top w:val="none" w:sz="0" w:space="0" w:color="auto"/>
                                                <w:left w:val="none" w:sz="0" w:space="0" w:color="auto"/>
                                                <w:bottom w:val="none" w:sz="0" w:space="0" w:color="auto"/>
                                                <w:right w:val="none" w:sz="0" w:space="0" w:color="auto"/>
                                              </w:divBdr>
                                              <w:divsChild>
                                                <w:div w:id="2066905925">
                                                  <w:marLeft w:val="0"/>
                                                  <w:marRight w:val="0"/>
                                                  <w:marTop w:val="0"/>
                                                  <w:marBottom w:val="0"/>
                                                  <w:divBdr>
                                                    <w:top w:val="none" w:sz="0" w:space="0" w:color="auto"/>
                                                    <w:left w:val="none" w:sz="0" w:space="0" w:color="auto"/>
                                                    <w:bottom w:val="none" w:sz="0" w:space="0" w:color="auto"/>
                                                    <w:right w:val="none" w:sz="0" w:space="0" w:color="auto"/>
                                                  </w:divBdr>
                                                  <w:divsChild>
                                                    <w:div w:id="924000702">
                                                      <w:marLeft w:val="0"/>
                                                      <w:marRight w:val="0"/>
                                                      <w:marTop w:val="0"/>
                                                      <w:marBottom w:val="0"/>
                                                      <w:divBdr>
                                                        <w:top w:val="none" w:sz="0" w:space="0" w:color="auto"/>
                                                        <w:left w:val="none" w:sz="0" w:space="0" w:color="auto"/>
                                                        <w:bottom w:val="none" w:sz="0" w:space="0" w:color="auto"/>
                                                        <w:right w:val="none" w:sz="0" w:space="0" w:color="auto"/>
                                                      </w:divBdr>
                                                      <w:divsChild>
                                                        <w:div w:id="1635910761">
                                                          <w:marLeft w:val="0"/>
                                                          <w:marRight w:val="0"/>
                                                          <w:marTop w:val="0"/>
                                                          <w:marBottom w:val="0"/>
                                                          <w:divBdr>
                                                            <w:top w:val="none" w:sz="0" w:space="0" w:color="auto"/>
                                                            <w:left w:val="none" w:sz="0" w:space="0" w:color="auto"/>
                                                            <w:bottom w:val="none" w:sz="0" w:space="0" w:color="auto"/>
                                                            <w:right w:val="none" w:sz="0" w:space="0" w:color="auto"/>
                                                          </w:divBdr>
                                                          <w:divsChild>
                                                            <w:div w:id="111105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97877661">
      <w:bodyDiv w:val="1"/>
      <w:marLeft w:val="0"/>
      <w:marRight w:val="0"/>
      <w:marTop w:val="0"/>
      <w:marBottom w:val="0"/>
      <w:divBdr>
        <w:top w:val="none" w:sz="0" w:space="0" w:color="auto"/>
        <w:left w:val="none" w:sz="0" w:space="0" w:color="auto"/>
        <w:bottom w:val="none" w:sz="0" w:space="0" w:color="auto"/>
        <w:right w:val="none" w:sz="0" w:space="0" w:color="auto"/>
      </w:divBdr>
    </w:div>
    <w:div w:id="2088920582">
      <w:bodyDiv w:val="1"/>
      <w:marLeft w:val="0"/>
      <w:marRight w:val="0"/>
      <w:marTop w:val="0"/>
      <w:marBottom w:val="0"/>
      <w:divBdr>
        <w:top w:val="none" w:sz="0" w:space="0" w:color="auto"/>
        <w:left w:val="none" w:sz="0" w:space="0" w:color="auto"/>
        <w:bottom w:val="none" w:sz="0" w:space="0" w:color="auto"/>
        <w:right w:val="none" w:sz="0" w:space="0" w:color="auto"/>
      </w:divBdr>
    </w:div>
    <w:div w:id="2112622028">
      <w:bodyDiv w:val="1"/>
      <w:marLeft w:val="0"/>
      <w:marRight w:val="0"/>
      <w:marTop w:val="0"/>
      <w:marBottom w:val="0"/>
      <w:divBdr>
        <w:top w:val="none" w:sz="0" w:space="0" w:color="auto"/>
        <w:left w:val="none" w:sz="0" w:space="0" w:color="auto"/>
        <w:bottom w:val="none" w:sz="0" w:space="0" w:color="auto"/>
        <w:right w:val="none" w:sz="0" w:space="0" w:color="auto"/>
      </w:divBdr>
    </w:div>
    <w:div w:id="2122915546">
      <w:bodyDiv w:val="1"/>
      <w:marLeft w:val="0"/>
      <w:marRight w:val="0"/>
      <w:marTop w:val="0"/>
      <w:marBottom w:val="0"/>
      <w:divBdr>
        <w:top w:val="none" w:sz="0" w:space="0" w:color="auto"/>
        <w:left w:val="none" w:sz="0" w:space="0" w:color="auto"/>
        <w:bottom w:val="none" w:sz="0" w:space="0" w:color="auto"/>
        <w:right w:val="none" w:sz="0" w:space="0" w:color="auto"/>
      </w:divBdr>
    </w:div>
    <w:div w:id="2123451458">
      <w:bodyDiv w:val="1"/>
      <w:marLeft w:val="0"/>
      <w:marRight w:val="0"/>
      <w:marTop w:val="0"/>
      <w:marBottom w:val="0"/>
      <w:divBdr>
        <w:top w:val="none" w:sz="0" w:space="0" w:color="auto"/>
        <w:left w:val="none" w:sz="0" w:space="0" w:color="auto"/>
        <w:bottom w:val="none" w:sz="0" w:space="0" w:color="auto"/>
        <w:right w:val="none" w:sz="0" w:space="0" w:color="auto"/>
      </w:divBdr>
    </w:div>
    <w:div w:id="2128695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7.png"/><Relationship Id="rId39" Type="http://schemas.openxmlformats.org/officeDocument/2006/relationships/hyperlink" Target="https://www.sica.int/documentos/estrategia-energetica-sustentable-2030-de-los-paises-del-sica-ees-sica-2030_1_124775.html" TargetMode="External"/><Relationship Id="rId21" Type="http://schemas.openxmlformats.org/officeDocument/2006/relationships/image" Target="media/image4.emf"/><Relationship Id="rId34" Type="http://schemas.openxmlformats.org/officeDocument/2006/relationships/hyperlink" Target="https://apps.grupoice.com/CenceWeb/CenceDescargaArchivos.jsf?init=true&amp;categoria=1&amp;codigoTipoArchivo=1001" TargetMode="External"/><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31.png"/><Relationship Id="rId63" Type="http://schemas.openxmlformats.org/officeDocument/2006/relationships/hyperlink" Target="https://www.sica.int/documentos/factsheet-proyecto-fomento-de-la-geotermia-en-centroamerica_1_124296.html" TargetMode="Externa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5.png"/><Relationship Id="rId32" Type="http://schemas.openxmlformats.org/officeDocument/2006/relationships/hyperlink" Target="https://www.cree.gob.hn/registro-publico-de-empresas-del-sector-electrico/" TargetMode="External"/><Relationship Id="rId37" Type="http://schemas.openxmlformats.org/officeDocument/2006/relationships/image" Target="media/image14.emf"/><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hyperlink" Target="https://www.cnee.gob.gt/wp/" TargetMode="External"/><Relationship Id="rId66" Type="http://schemas.openxmlformats.org/officeDocument/2006/relationships/hyperlink" Target="https://www.asep.gob.pa/wp-content/uploads/COVER_2018/Autoconsumo_Renovables_Limpias/procedimiento_centrales_limpias_2017.pdf"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data.worldbank.org/indicator/NY.GDP.PCAP.CD?locations=PA" TargetMode="External"/><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image" Target="media/image25.png"/><Relationship Id="rId57" Type="http://schemas.openxmlformats.org/officeDocument/2006/relationships/hyperlink" Target="https://mem.gob.gt/" TargetMode="External"/><Relationship Id="rId61" Type="http://schemas.openxmlformats.org/officeDocument/2006/relationships/hyperlink" Target="https://www.cne.gob.sv/" TargetMode="Externa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yperlink" Target="https://www.cnee.gob.gt/wp/generadores/" TargetMode="External"/><Relationship Id="rId44" Type="http://schemas.openxmlformats.org/officeDocument/2006/relationships/image" Target="media/image20.emf"/><Relationship Id="rId52" Type="http://schemas.openxmlformats.org/officeDocument/2006/relationships/image" Target="media/image28.png"/><Relationship Id="rId60" Type="http://schemas.openxmlformats.org/officeDocument/2006/relationships/hyperlink" Target="https://www.irena.org/publications/2020/Dec/Renewables-Readiness-Assessment-El-Salvador-ES" TargetMode="External"/><Relationship Id="rId65" Type="http://schemas.openxmlformats.org/officeDocument/2006/relationships/hyperlink" Target="http://biblioteca.olade.org/opac-tmpl/Documentos/cg00467.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cepal.org/es/publicaciones/47019-estadisticas-subsector-electrico-paises-sistema-la-integracion-centroamericana" TargetMode="External"/><Relationship Id="rId27" Type="http://schemas.openxmlformats.org/officeDocument/2006/relationships/image" Target="media/image8.png"/><Relationship Id="rId30" Type="http://schemas.openxmlformats.org/officeDocument/2006/relationships/image" Target="media/image11.emf"/><Relationship Id="rId35" Type="http://schemas.openxmlformats.org/officeDocument/2006/relationships/image" Target="media/image12.emf"/><Relationship Id="rId43" Type="http://schemas.openxmlformats.org/officeDocument/2006/relationships/image" Target="media/image19.emf"/><Relationship Id="rId48" Type="http://schemas.openxmlformats.org/officeDocument/2006/relationships/image" Target="media/image24.png"/><Relationship Id="rId56" Type="http://schemas.openxmlformats.org/officeDocument/2006/relationships/image" Target="media/image32.png"/><Relationship Id="rId64" Type="http://schemas.openxmlformats.org/officeDocument/2006/relationships/hyperlink" Target="https://energia.minae.go.cr/?page_id=1444" TargetMode="External"/><Relationship Id="rId69" Type="http://schemas.openxmlformats.org/officeDocument/2006/relationships/glossaryDocument" Target="glossary/document.xml"/><Relationship Id="rId8" Type="http://schemas.openxmlformats.org/officeDocument/2006/relationships/webSettings" Target="webSettings.xml"/><Relationship Id="rId51" Type="http://schemas.openxmlformats.org/officeDocument/2006/relationships/image" Target="media/image27.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2.jpg"/><Relationship Id="rId25" Type="http://schemas.openxmlformats.org/officeDocument/2006/relationships/image" Target="media/image6.png"/><Relationship Id="rId33" Type="http://schemas.openxmlformats.org/officeDocument/2006/relationships/hyperlink" Target="http://www.mem.gob.ni/?page_id=1445" TargetMode="External"/><Relationship Id="rId38" Type="http://schemas.openxmlformats.org/officeDocument/2006/relationships/image" Target="media/image15.png"/><Relationship Id="rId46" Type="http://schemas.openxmlformats.org/officeDocument/2006/relationships/image" Target="media/image22.png"/><Relationship Id="rId59" Type="http://schemas.openxmlformats.org/officeDocument/2006/relationships/hyperlink" Target="https://www.amm.org.gt/portal/" TargetMode="External"/><Relationship Id="rId67" Type="http://schemas.openxmlformats.org/officeDocument/2006/relationships/header" Target="header5.xml"/><Relationship Id="rId20" Type="http://schemas.openxmlformats.org/officeDocument/2006/relationships/footer" Target="footer4.xml"/><Relationship Id="rId41" Type="http://schemas.openxmlformats.org/officeDocument/2006/relationships/image" Target="media/image17.png"/><Relationship Id="rId54" Type="http://schemas.openxmlformats.org/officeDocument/2006/relationships/image" Target="media/image30.png"/><Relationship Id="rId62" Type="http://schemas.openxmlformats.org/officeDocument/2006/relationships/hyperlink" Target="https://www.sica.int/documentos/infografico-de-geotermia-y-sus-usos-directos_1_124299.html" TargetMode="External"/><Relationship Id="rId7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asamblea.go.cr/glcp/Lista_Mociones/22009-I-001.pdf" TargetMode="External"/><Relationship Id="rId3" Type="http://schemas.openxmlformats.org/officeDocument/2006/relationships/hyperlink" Target="https://www.worldbank.org/en/country/honduras/overview" TargetMode="External"/><Relationship Id="rId7" Type="http://schemas.openxmlformats.org/officeDocument/2006/relationships/hyperlink" Target="https://www.presidencia.gob.sv/presidente-nayib-bukele-anuncia-construccion-de-bitcoin-city-en-el-cierre-de-bitcoin-week-feel-the-bit/" TargetMode="External"/><Relationship Id="rId2" Type="http://schemas.openxmlformats.org/officeDocument/2006/relationships/hyperlink" Target="https://www.worldbank.org/en/country/guatemala/overview" TargetMode="External"/><Relationship Id="rId1" Type="http://schemas.openxmlformats.org/officeDocument/2006/relationships/hyperlink" Target="https://data.worldbank.org/indicator/NY.GDP.MKTP.CD?locations=PA-SV-CR-NI-HN-GT-BZ" TargetMode="External"/><Relationship Id="rId6" Type="http://schemas.openxmlformats.org/officeDocument/2006/relationships/hyperlink" Target="https://www.worldbank.org/en/country/costarica/overview" TargetMode="External"/><Relationship Id="rId11" Type="http://schemas.openxmlformats.org/officeDocument/2006/relationships/hyperlink" Target="https://unfccc.int/sites/default/files/english_paris_agreement.pdf" TargetMode="External"/><Relationship Id="rId5" Type="http://schemas.openxmlformats.org/officeDocument/2006/relationships/hyperlink" Target="https://www.worldbank.org/en/nicaragua/elsalvador/overview" TargetMode="External"/><Relationship Id="rId10" Type="http://schemas.openxmlformats.org/officeDocument/2006/relationships/hyperlink" Target="https://ec.europa.eu/info/strategy/priorities-2019-2024/european-green-deal_en" TargetMode="External"/><Relationship Id="rId4" Type="http://schemas.openxmlformats.org/officeDocument/2006/relationships/hyperlink" Target="https://www.worldbank.org/en/country/elsalvador/overview" TargetMode="External"/><Relationship Id="rId9" Type="http://schemas.openxmlformats.org/officeDocument/2006/relationships/hyperlink" Target="https://www.presidencia.go.cr/comunicados/2021/12/firmada-ley-que-regula-la-generacion-de-energia-distribuida-en-el-pai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rami\AppData\Local\Packages\Microsoft.Office.Desktop_8wekyb3d8bbwe\AC\INetCache\Content.Outlook\KHDSI0C8\PLANTILLA%20INFORME%20EUCA%20TRADE_E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AE1614E1BBB49DC9EF05FF4180C7E73"/>
        <w:category>
          <w:name w:val="General"/>
          <w:gallery w:val="placeholder"/>
        </w:category>
        <w:types>
          <w:type w:val="bbPlcHdr"/>
        </w:types>
        <w:behaviors>
          <w:behavior w:val="content"/>
        </w:behaviors>
        <w:guid w:val="{E91F3978-6CAC-4453-8AA5-A59EBB57147F}"/>
      </w:docPartPr>
      <w:docPartBody>
        <w:p w:rsidR="00942363" w:rsidRDefault="006D5848">
          <w:pPr>
            <w:pStyle w:val="BAE1614E1BBB49DC9EF05FF4180C7E73"/>
          </w:pPr>
          <w:r w:rsidRPr="00F12B88">
            <w:rPr>
              <w:rStyle w:val="Textodelmarcadordeposicin"/>
            </w:rPr>
            <w:t>[Título]</w:t>
          </w:r>
        </w:p>
      </w:docPartBody>
    </w:docPart>
    <w:docPart>
      <w:docPartPr>
        <w:name w:val="8866D4CFFEF2468EB90DC1B97579A8AB"/>
        <w:category>
          <w:name w:val="General"/>
          <w:gallery w:val="placeholder"/>
        </w:category>
        <w:types>
          <w:type w:val="bbPlcHdr"/>
        </w:types>
        <w:behaviors>
          <w:behavior w:val="content"/>
        </w:behaviors>
        <w:guid w:val="{3E437EE9-B61E-48EE-836C-3D561E4C8244}"/>
      </w:docPartPr>
      <w:docPartBody>
        <w:p w:rsidR="00942363" w:rsidRDefault="006D5848">
          <w:pPr>
            <w:pStyle w:val="8866D4CFFEF2468EB90DC1B97579A8AB"/>
          </w:pPr>
          <w:r w:rsidRPr="00F12B88">
            <w:rPr>
              <w:rStyle w:val="Textodelmarcadordeposicin"/>
            </w:rPr>
            <w:t>[Título]</w:t>
          </w:r>
        </w:p>
      </w:docPartBody>
    </w:docPart>
    <w:docPart>
      <w:docPartPr>
        <w:name w:val="A571B67E2D96492D97CE87FB5ACD2820"/>
        <w:category>
          <w:name w:val="General"/>
          <w:gallery w:val="placeholder"/>
        </w:category>
        <w:types>
          <w:type w:val="bbPlcHdr"/>
        </w:types>
        <w:behaviors>
          <w:behavior w:val="content"/>
        </w:behaviors>
        <w:guid w:val="{7BA387D0-4E20-4F3B-9450-F87F2486A0D3}"/>
      </w:docPartPr>
      <w:docPartBody>
        <w:p w:rsidR="00942363" w:rsidRDefault="006D5848">
          <w:pPr>
            <w:pStyle w:val="A571B67E2D96492D97CE87FB5ACD2820"/>
          </w:pPr>
          <w:r w:rsidRPr="00F12B88">
            <w:rPr>
              <w:rStyle w:val="Textodelmarcadordeposicin"/>
            </w:rPr>
            <w:t>[Título]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venir Next LT Pro">
    <w:altName w:val="Arial"/>
    <w:charset w:val="00"/>
    <w:family w:val="swiss"/>
    <w:pitch w:val="variable"/>
    <w:sig w:usb0="800000EF" w:usb1="5000204A"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Avenir Black">
    <w:altName w:val="Calibri"/>
    <w:charset w:val="4D"/>
    <w:family w:val="swiss"/>
    <w:pitch w:val="variable"/>
    <w:sig w:usb0="800000AF" w:usb1="5000204A" w:usb2="00000000" w:usb3="00000000" w:csb0="0000009B"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venir">
    <w:altName w:val="Calibri"/>
    <w:charset w:val="4D"/>
    <w:family w:val="swiss"/>
    <w:pitch w:val="variable"/>
    <w:sig w:usb0="800000AF" w:usb1="5000204A" w:usb2="00000000" w:usb3="00000000" w:csb0="0000009B" w:csb1="00000000"/>
  </w:font>
  <w:font w:name="Cambria Math">
    <w:panose1 w:val="02040503050406030204"/>
    <w:charset w:val="00"/>
    <w:family w:val="roman"/>
    <w:pitch w:val="variable"/>
    <w:sig w:usb0="E00006FF" w:usb1="420024FF" w:usb2="02000000" w:usb3="00000000" w:csb0="0000019F" w:csb1="00000000"/>
  </w:font>
  <w:font w:name="GothamNarrow-Book">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848"/>
    <w:rsid w:val="0007237F"/>
    <w:rsid w:val="000B66DA"/>
    <w:rsid w:val="000E2BCB"/>
    <w:rsid w:val="00115372"/>
    <w:rsid w:val="001D71D0"/>
    <w:rsid w:val="00262D9E"/>
    <w:rsid w:val="002A1DAD"/>
    <w:rsid w:val="002C6BE2"/>
    <w:rsid w:val="003971F6"/>
    <w:rsid w:val="003F71E5"/>
    <w:rsid w:val="004219D8"/>
    <w:rsid w:val="00486D96"/>
    <w:rsid w:val="0059270C"/>
    <w:rsid w:val="005B717D"/>
    <w:rsid w:val="00674CB1"/>
    <w:rsid w:val="006B407E"/>
    <w:rsid w:val="006B5F4C"/>
    <w:rsid w:val="006D5848"/>
    <w:rsid w:val="00727F79"/>
    <w:rsid w:val="007477A8"/>
    <w:rsid w:val="008065BB"/>
    <w:rsid w:val="00833420"/>
    <w:rsid w:val="0085061E"/>
    <w:rsid w:val="008D19E7"/>
    <w:rsid w:val="009269EE"/>
    <w:rsid w:val="00932B94"/>
    <w:rsid w:val="00942363"/>
    <w:rsid w:val="00996746"/>
    <w:rsid w:val="009E520A"/>
    <w:rsid w:val="009F6DDD"/>
    <w:rsid w:val="00A0366E"/>
    <w:rsid w:val="00A22EC5"/>
    <w:rsid w:val="00A7677E"/>
    <w:rsid w:val="00A90D9F"/>
    <w:rsid w:val="00AB70EC"/>
    <w:rsid w:val="00B15711"/>
    <w:rsid w:val="00B50B73"/>
    <w:rsid w:val="00BE6604"/>
    <w:rsid w:val="00C062FE"/>
    <w:rsid w:val="00C220A8"/>
    <w:rsid w:val="00C32EC4"/>
    <w:rsid w:val="00CC5E5D"/>
    <w:rsid w:val="00CD6C8E"/>
    <w:rsid w:val="00D2127E"/>
    <w:rsid w:val="00D2753C"/>
    <w:rsid w:val="00DB0650"/>
    <w:rsid w:val="00E23E51"/>
    <w:rsid w:val="00E848D9"/>
    <w:rsid w:val="00F44EA3"/>
    <w:rsid w:val="00F637CC"/>
    <w:rsid w:val="00F7630C"/>
    <w:rsid w:val="00F82C8D"/>
    <w:rsid w:val="00FB79AC"/>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R" w:eastAsia="es-C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Pr>
      <w:color w:val="808080"/>
    </w:rPr>
  </w:style>
  <w:style w:type="paragraph" w:customStyle="1" w:styleId="BAE1614E1BBB49DC9EF05FF4180C7E73">
    <w:name w:val="BAE1614E1BBB49DC9EF05FF4180C7E73"/>
  </w:style>
  <w:style w:type="paragraph" w:customStyle="1" w:styleId="8866D4CFFEF2468EB90DC1B97579A8AB">
    <w:name w:val="8866D4CFFEF2468EB90DC1B97579A8AB"/>
  </w:style>
  <w:style w:type="paragraph" w:customStyle="1" w:styleId="A571B67E2D96492D97CE87FB5ACD2820">
    <w:name w:val="A571B67E2D96492D97CE87FB5ACD282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ateandtime xmlns="73f5915a-3c0a-40a8-8ff6-c559a68cf927" xsi:nil="true"/>
    <SharedWithUsers xmlns="a16fc73c-0dd0-4a2b-a699-0759d501ee2c">
      <UserInfo>
        <DisplayName>Javier Sanchez</DisplayName>
        <AccountId>15</AccountId>
        <AccountType/>
      </UserInfo>
      <UserInfo>
        <DisplayName>Carolina Palma</DisplayName>
        <AccountId>24</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94D36C2E62FEF47BFBF7A80B23038E3" ma:contentTypeVersion="13" ma:contentTypeDescription="Create a new document." ma:contentTypeScope="" ma:versionID="462d2158973fae760e2eac6f845fcef2">
  <xsd:schema xmlns:xsd="http://www.w3.org/2001/XMLSchema" xmlns:xs="http://www.w3.org/2001/XMLSchema" xmlns:p="http://schemas.microsoft.com/office/2006/metadata/properties" xmlns:ns2="73f5915a-3c0a-40a8-8ff6-c559a68cf927" xmlns:ns3="a16fc73c-0dd0-4a2b-a699-0759d501ee2c" targetNamespace="http://schemas.microsoft.com/office/2006/metadata/properties" ma:root="true" ma:fieldsID="014fe2886b2800b4b6f4350b813a9d7d" ns2:_="" ns3:_="">
    <xsd:import namespace="73f5915a-3c0a-40a8-8ff6-c559a68cf927"/>
    <xsd:import namespace="a16fc73c-0dd0-4a2b-a699-0759d501ee2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Dateand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f5915a-3c0a-40a8-8ff6-c559a68cf9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Dateandtime" ma:index="20" nillable="true" ma:displayName="Date and time" ma:format="DateTime" ma:internalName="Dateandtim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16fc73c-0dd0-4a2b-a699-0759d501ee2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3F3CD1-A3AF-4DC2-886B-F02BEBDED51D}">
  <ds:schemaRefs>
    <ds:schemaRef ds:uri="a16fc73c-0dd0-4a2b-a699-0759d501ee2c"/>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purl.org/dc/terms/"/>
    <ds:schemaRef ds:uri="73f5915a-3c0a-40a8-8ff6-c559a68cf927"/>
    <ds:schemaRef ds:uri="http://www.w3.org/XML/1998/namespace"/>
    <ds:schemaRef ds:uri="http://purl.org/dc/dcmitype/"/>
  </ds:schemaRefs>
</ds:datastoreItem>
</file>

<file path=customXml/itemProps2.xml><?xml version="1.0" encoding="utf-8"?>
<ds:datastoreItem xmlns:ds="http://schemas.openxmlformats.org/officeDocument/2006/customXml" ds:itemID="{37456D0A-269A-4608-8F53-8EA581A6FB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f5915a-3c0a-40a8-8ff6-c559a68cf927"/>
    <ds:schemaRef ds:uri="a16fc73c-0dd0-4a2b-a699-0759d501ee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C912CEE-91E4-446B-8D53-4656DF748A59}">
  <ds:schemaRefs>
    <ds:schemaRef ds:uri="http://schemas.microsoft.com/sharepoint/v3/contenttype/forms"/>
  </ds:schemaRefs>
</ds:datastoreItem>
</file>

<file path=customXml/itemProps4.xml><?xml version="1.0" encoding="utf-8"?>
<ds:datastoreItem xmlns:ds="http://schemas.openxmlformats.org/officeDocument/2006/customXml" ds:itemID="{61131905-F432-4434-AA20-83EE0EE53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INFORME EUCA TRADE_EN</Template>
  <TotalTime>1</TotalTime>
  <Pages>49</Pages>
  <Words>21758</Words>
  <Characters>124022</Characters>
  <Application>Microsoft Office Word</Application>
  <DocSecurity>4</DocSecurity>
  <Lines>1033</Lines>
  <Paragraphs>290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Renewable Energy Sector in Central America</vt:lpstr>
      <vt:lpstr>Inception report</vt:lpstr>
    </vt:vector>
  </TitlesOfParts>
  <Company/>
  <LinksUpToDate>false</LinksUpToDate>
  <CharactersWithSpaces>145490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Renewable Energy Sector in Central America</dc:title>
  <dc:subject/>
  <dc:creator>Leonardo Ramirez Leiva</dc:creator>
  <cp:keywords/>
  <dc:description/>
  <cp:lastModifiedBy>VON SAENGER Margaret</cp:lastModifiedBy>
  <cp:revision>2</cp:revision>
  <cp:lastPrinted>2021-09-01T02:47:00Z</cp:lastPrinted>
  <dcterms:created xsi:type="dcterms:W3CDTF">2022-02-10T14:23:00Z</dcterms:created>
  <dcterms:modified xsi:type="dcterms:W3CDTF">2022-02-10T14:23:00Z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0x010100594D36C2E62FEF47BFBF7A80B23038E3</vt:lpwstr>
  </property>
</Properties>
</file>