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4" w:rsidRDefault="00E16D94" w:rsidP="00E16D94">
      <w:pPr>
        <w:rPr>
          <w:b/>
          <w:sz w:val="36"/>
          <w:szCs w:val="36"/>
          <w:lang w:val="fr-BE"/>
        </w:rPr>
      </w:pPr>
      <w:bookmarkStart w:id="0" w:name="_GoBack"/>
      <w:bookmarkEnd w:id="0"/>
      <w:r>
        <w:rPr>
          <w:b/>
          <w:noProof/>
          <w:sz w:val="36"/>
          <w:szCs w:val="36"/>
          <w:lang w:val="fr-FR"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370205</wp:posOffset>
            </wp:positionV>
            <wp:extent cx="1895475" cy="1285875"/>
            <wp:effectExtent l="19050" t="0" r="9525" b="0"/>
            <wp:wrapSquare wrapText="bothSides"/>
            <wp:docPr id="3" name="Picture 2" descr="http://www.digitalcongo.net/UserFiles/image/Photos_2012/Tempo/verreeau_ro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gitalcongo.net/UserFiles/image/Photos_2012/Tempo/verreeau_robin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fr-BE"/>
        </w:rPr>
        <w:t xml:space="preserve">         </w:t>
      </w:r>
    </w:p>
    <w:p w:rsidR="00E16D94" w:rsidRDefault="00E16D94" w:rsidP="00E16D94">
      <w:pPr>
        <w:rPr>
          <w:b/>
          <w:sz w:val="36"/>
          <w:szCs w:val="36"/>
          <w:lang w:val="fr-BE"/>
        </w:rPr>
      </w:pPr>
    </w:p>
    <w:p w:rsidR="00DC68C0" w:rsidRPr="00E16D94" w:rsidRDefault="00E16D94" w:rsidP="00E16D94">
      <w:pPr>
        <w:rPr>
          <w:b/>
          <w:sz w:val="36"/>
          <w:szCs w:val="36"/>
          <w:lang w:val="fr-BE"/>
        </w:rPr>
      </w:pPr>
      <w:r>
        <w:rPr>
          <w:b/>
          <w:sz w:val="36"/>
          <w:szCs w:val="36"/>
          <w:lang w:val="fr-BE"/>
        </w:rPr>
        <w:t xml:space="preserve">     Le secteur de l’Eau en SLOVENIE</w:t>
      </w:r>
    </w:p>
    <w:p w:rsidR="00E16D94" w:rsidRDefault="00E16D94" w:rsidP="00E93ABA">
      <w:pPr>
        <w:rPr>
          <w:b/>
          <w:sz w:val="32"/>
          <w:szCs w:val="32"/>
          <w:u w:val="single"/>
          <w:lang w:val="fr-BE"/>
        </w:rPr>
      </w:pPr>
    </w:p>
    <w:p w:rsidR="00E16D94" w:rsidRDefault="00E16D94" w:rsidP="00E93ABA">
      <w:pPr>
        <w:rPr>
          <w:b/>
          <w:sz w:val="32"/>
          <w:szCs w:val="32"/>
          <w:u w:val="single"/>
          <w:lang w:val="fr-BE"/>
        </w:rPr>
      </w:pPr>
    </w:p>
    <w:p w:rsidR="004D04BD" w:rsidRDefault="00E93ABA" w:rsidP="00E93ABA">
      <w:pPr>
        <w:rPr>
          <w:lang w:val="fr-BE"/>
        </w:rPr>
      </w:pPr>
      <w:r>
        <w:rPr>
          <w:b/>
          <w:sz w:val="32"/>
          <w:szCs w:val="32"/>
          <w:u w:val="single"/>
          <w:lang w:val="fr-BE"/>
        </w:rPr>
        <w:t>Présentation du marché</w:t>
      </w:r>
      <w:r w:rsidR="00B30CE0">
        <w:rPr>
          <w:b/>
          <w:sz w:val="32"/>
          <w:szCs w:val="32"/>
          <w:u w:val="single"/>
          <w:lang w:val="fr-BE"/>
        </w:rPr>
        <w:t> </w:t>
      </w:r>
      <w:r w:rsidR="00B30CE0">
        <w:rPr>
          <w:lang w:val="fr-BE"/>
        </w:rPr>
        <w:t>:</w:t>
      </w:r>
      <w:r w:rsidR="00EF11D3">
        <w:rPr>
          <w:lang w:val="fr-BE"/>
        </w:rPr>
        <w:t xml:space="preserve"> </w:t>
      </w:r>
    </w:p>
    <w:p w:rsidR="00FA379D" w:rsidRDefault="00B67867" w:rsidP="00FA379D">
      <w:pPr>
        <w:jc w:val="both"/>
        <w:rPr>
          <w:i/>
          <w:lang w:val="fr-BE"/>
        </w:rPr>
      </w:pPr>
      <w:r>
        <w:rPr>
          <w:lang w:val="fr-BE"/>
        </w:rPr>
        <w:t>Le système d’</w:t>
      </w:r>
      <w:r w:rsidR="00FB1BA2">
        <w:rPr>
          <w:lang w:val="fr-BE"/>
        </w:rPr>
        <w:t xml:space="preserve">exploitation et </w:t>
      </w:r>
      <w:r>
        <w:rPr>
          <w:lang w:val="fr-BE"/>
        </w:rPr>
        <w:t>de</w:t>
      </w:r>
      <w:r w:rsidR="00FB1BA2">
        <w:rPr>
          <w:lang w:val="fr-BE"/>
        </w:rPr>
        <w:t xml:space="preserve"> traitement des eaux</w:t>
      </w:r>
      <w:r w:rsidR="00EF11D3">
        <w:rPr>
          <w:lang w:val="fr-BE"/>
        </w:rPr>
        <w:t xml:space="preserve"> en Slovénie </w:t>
      </w:r>
      <w:r w:rsidR="00FB1BA2">
        <w:rPr>
          <w:lang w:val="fr-BE"/>
        </w:rPr>
        <w:t>fait partie du Pro</w:t>
      </w:r>
      <w:r>
        <w:rPr>
          <w:lang w:val="fr-BE"/>
        </w:rPr>
        <w:t xml:space="preserve">gramme stratégique de </w:t>
      </w:r>
      <w:r w:rsidR="0088727B">
        <w:rPr>
          <w:lang w:val="fr-BE"/>
        </w:rPr>
        <w:t xml:space="preserve"> gestion de </w:t>
      </w:r>
      <w:r>
        <w:rPr>
          <w:lang w:val="fr-BE"/>
        </w:rPr>
        <w:t>l’eau</w:t>
      </w:r>
      <w:r w:rsidR="0088727B">
        <w:rPr>
          <w:lang w:val="fr-BE"/>
        </w:rPr>
        <w:t xml:space="preserve"> que le Ministère de l’Environnement et</w:t>
      </w:r>
      <w:r>
        <w:rPr>
          <w:lang w:val="fr-BE"/>
        </w:rPr>
        <w:t xml:space="preserve"> de</w:t>
      </w:r>
      <w:r w:rsidR="0088727B">
        <w:rPr>
          <w:lang w:val="fr-BE"/>
        </w:rPr>
        <w:t xml:space="preserve"> l’Aménagement du territoire est en train de préparer pour la période 2016 – 2021. Le projet de ce P</w:t>
      </w:r>
      <w:r w:rsidR="00E6712E">
        <w:rPr>
          <w:lang w:val="fr-BE"/>
        </w:rPr>
        <w:t xml:space="preserve">rogramme envisage </w:t>
      </w:r>
      <w:r w:rsidR="0088727B">
        <w:rPr>
          <w:lang w:val="fr-BE"/>
        </w:rPr>
        <w:t xml:space="preserve"> </w:t>
      </w:r>
      <w:r>
        <w:rPr>
          <w:b/>
          <w:lang w:val="fr-BE"/>
        </w:rPr>
        <w:t xml:space="preserve">5 </w:t>
      </w:r>
      <w:r w:rsidR="00E6712E">
        <w:rPr>
          <w:b/>
          <w:lang w:val="fr-BE"/>
        </w:rPr>
        <w:t xml:space="preserve"> plans opérationnels </w:t>
      </w:r>
      <w:r w:rsidR="00E6712E">
        <w:rPr>
          <w:lang w:val="fr-BE"/>
        </w:rPr>
        <w:t xml:space="preserve">très distincts, à savoir : </w:t>
      </w:r>
      <w:r w:rsidR="00E6712E">
        <w:rPr>
          <w:i/>
          <w:lang w:val="fr-BE"/>
        </w:rPr>
        <w:t>(1) Programme opérationnel d</w:t>
      </w:r>
      <w:r w:rsidR="0010757E">
        <w:rPr>
          <w:i/>
          <w:lang w:val="fr-BE"/>
        </w:rPr>
        <w:t xml:space="preserve">’alimentation en </w:t>
      </w:r>
      <w:r w:rsidR="00E6712E">
        <w:rPr>
          <w:i/>
          <w:lang w:val="fr-BE"/>
        </w:rPr>
        <w:t>eau potable, (2) Programme opérationnel de séparation et d’épuration des eaux résiduelles</w:t>
      </w:r>
      <w:r w:rsidR="00CC759A">
        <w:rPr>
          <w:i/>
          <w:lang w:val="fr-BE"/>
        </w:rPr>
        <w:t>, (3) Plan d’intervention contre le danger des inondations, (4) Plan de gestion de l’habitat maritime et (5) Pl</w:t>
      </w:r>
      <w:r w:rsidR="006A3779">
        <w:rPr>
          <w:i/>
          <w:lang w:val="fr-BE"/>
        </w:rPr>
        <w:t xml:space="preserve">an de gestion des eaux </w:t>
      </w:r>
      <w:r w:rsidR="008F2DA7">
        <w:rPr>
          <w:i/>
          <w:lang w:val="fr-BE"/>
        </w:rPr>
        <w:t>de s</w:t>
      </w:r>
      <w:r w:rsidR="00FA379D">
        <w:rPr>
          <w:i/>
          <w:lang w:val="fr-BE"/>
        </w:rPr>
        <w:t>urface.</w:t>
      </w:r>
    </w:p>
    <w:p w:rsidR="00CC759A" w:rsidRDefault="003010F3" w:rsidP="00FA379D">
      <w:pPr>
        <w:jc w:val="both"/>
        <w:rPr>
          <w:lang w:val="fr-BE"/>
        </w:rPr>
      </w:pPr>
      <w:r>
        <w:rPr>
          <w:lang w:val="fr-BE"/>
        </w:rPr>
        <w:t xml:space="preserve"> Dans cette présentation </w:t>
      </w:r>
      <w:r w:rsidR="007A440E">
        <w:rPr>
          <w:lang w:val="fr-BE"/>
        </w:rPr>
        <w:t>nous allons nous</w:t>
      </w:r>
      <w:r>
        <w:rPr>
          <w:lang w:val="fr-BE"/>
        </w:rPr>
        <w:t xml:space="preserve"> concentrer sur les deux premiers programmes.</w:t>
      </w:r>
    </w:p>
    <w:p w:rsidR="00A3184C" w:rsidRDefault="00FA379D" w:rsidP="00FA379D">
      <w:pPr>
        <w:jc w:val="both"/>
        <w:rPr>
          <w:lang w:val="fr-BE"/>
        </w:rPr>
      </w:pPr>
      <w:r w:rsidRPr="00FA379D">
        <w:rPr>
          <w:b/>
          <w:u w:val="single"/>
          <w:lang w:val="fr-BE"/>
        </w:rPr>
        <w:t xml:space="preserve">Programme d’Alimentation </w:t>
      </w:r>
      <w:r w:rsidR="0010757E" w:rsidRPr="00FA379D">
        <w:rPr>
          <w:b/>
          <w:u w:val="single"/>
          <w:lang w:val="fr-BE"/>
        </w:rPr>
        <w:t xml:space="preserve"> en </w:t>
      </w:r>
      <w:r w:rsidR="003010F3" w:rsidRPr="00FA379D">
        <w:rPr>
          <w:b/>
          <w:u w:val="single"/>
          <w:lang w:val="fr-BE"/>
        </w:rPr>
        <w:t>eau potable</w:t>
      </w:r>
      <w:r w:rsidR="0010757E">
        <w:rPr>
          <w:lang w:val="fr-BE"/>
        </w:rPr>
        <w:t xml:space="preserve">  est basé sur la quan</w:t>
      </w:r>
      <w:r w:rsidR="00D0591C">
        <w:rPr>
          <w:lang w:val="fr-BE"/>
        </w:rPr>
        <w:t xml:space="preserve">tité annuelle puisée et mise en circulation </w:t>
      </w:r>
      <w:r w:rsidR="0010757E">
        <w:rPr>
          <w:lang w:val="fr-BE"/>
        </w:rPr>
        <w:t>dans le système des aqueducs publics</w:t>
      </w:r>
      <w:r w:rsidR="00D0591C">
        <w:rPr>
          <w:lang w:val="fr-BE"/>
        </w:rPr>
        <w:t xml:space="preserve">. Ce système est dirigé entièrement par les  entreprises publiques intercommunales </w:t>
      </w:r>
      <w:r w:rsidR="00CA3528">
        <w:rPr>
          <w:lang w:val="fr-BE"/>
        </w:rPr>
        <w:t xml:space="preserve"> (</w:t>
      </w:r>
      <w:r w:rsidR="00CA3528">
        <w:rPr>
          <w:i/>
          <w:lang w:val="fr-BE"/>
        </w:rPr>
        <w:t xml:space="preserve">au nombre d’une </w:t>
      </w:r>
      <w:r w:rsidR="00CA3528" w:rsidRPr="00CA3528">
        <w:rPr>
          <w:lang w:val="fr-BE"/>
        </w:rPr>
        <w:t>centaine</w:t>
      </w:r>
      <w:r w:rsidR="00CA3528">
        <w:rPr>
          <w:lang w:val="fr-BE"/>
        </w:rPr>
        <w:t xml:space="preserve">) </w:t>
      </w:r>
      <w:r w:rsidR="00D0591C" w:rsidRPr="00CA3528">
        <w:rPr>
          <w:lang w:val="fr-BE"/>
        </w:rPr>
        <w:t>qui</w:t>
      </w:r>
      <w:r w:rsidR="00D0591C">
        <w:rPr>
          <w:lang w:val="fr-BE"/>
        </w:rPr>
        <w:t xml:space="preserve">  gèrent le volume total de </w:t>
      </w:r>
      <w:r w:rsidR="00D0591C">
        <w:rPr>
          <w:b/>
          <w:lang w:val="fr-BE"/>
        </w:rPr>
        <w:t xml:space="preserve">178,7 millions m3  </w:t>
      </w:r>
      <w:r w:rsidR="00E322E8">
        <w:rPr>
          <w:lang w:val="fr-BE"/>
        </w:rPr>
        <w:t>d</w:t>
      </w:r>
      <w:r w:rsidR="00D0591C">
        <w:rPr>
          <w:lang w:val="fr-BE"/>
        </w:rPr>
        <w:t xml:space="preserve">’eau potable par an. La </w:t>
      </w:r>
      <w:r w:rsidR="00A3184C">
        <w:rPr>
          <w:lang w:val="fr-BE"/>
        </w:rPr>
        <w:t>plus grande partie</w:t>
      </w:r>
      <w:r w:rsidR="008940F6">
        <w:rPr>
          <w:lang w:val="fr-BE"/>
        </w:rPr>
        <w:t xml:space="preserve">, à savoir </w:t>
      </w:r>
      <w:r w:rsidR="008940F6">
        <w:rPr>
          <w:b/>
          <w:lang w:val="fr-BE"/>
        </w:rPr>
        <w:t>94%</w:t>
      </w:r>
      <w:r w:rsidR="008940F6">
        <w:rPr>
          <w:lang w:val="fr-BE"/>
        </w:rPr>
        <w:t>, provient des eaux souterraines (57%) et de leurs sources (37%</w:t>
      </w:r>
      <w:r w:rsidR="00A3184C">
        <w:rPr>
          <w:lang w:val="fr-BE"/>
        </w:rPr>
        <w:t>),</w:t>
      </w:r>
      <w:r w:rsidR="008940F6">
        <w:rPr>
          <w:lang w:val="fr-BE"/>
        </w:rPr>
        <w:t xml:space="preserve"> le rest</w:t>
      </w:r>
      <w:r w:rsidR="003147D7">
        <w:rPr>
          <w:lang w:val="fr-BE"/>
        </w:rPr>
        <w:t xml:space="preserve">e étant alimenté </w:t>
      </w:r>
      <w:r w:rsidR="00E322E8">
        <w:rPr>
          <w:lang w:val="fr-BE"/>
        </w:rPr>
        <w:t>par</w:t>
      </w:r>
      <w:r w:rsidR="003147D7">
        <w:rPr>
          <w:lang w:val="fr-BE"/>
        </w:rPr>
        <w:t xml:space="preserve"> des sources qui surgissent sur la </w:t>
      </w:r>
      <w:r w:rsidR="008940F6">
        <w:rPr>
          <w:lang w:val="fr-BE"/>
        </w:rPr>
        <w:t>surface (</w:t>
      </w:r>
      <w:r w:rsidR="003147D7">
        <w:rPr>
          <w:lang w:val="fr-BE"/>
        </w:rPr>
        <w:t>3%) ainsi que</w:t>
      </w:r>
      <w:r w:rsidR="008940F6">
        <w:rPr>
          <w:lang w:val="fr-BE"/>
        </w:rPr>
        <w:t xml:space="preserve"> des eaux courantes traitées (3%)</w:t>
      </w:r>
      <w:r w:rsidR="003147D7">
        <w:rPr>
          <w:lang w:val="fr-BE"/>
        </w:rPr>
        <w:t>. La Slové</w:t>
      </w:r>
      <w:r w:rsidR="00E322E8">
        <w:rPr>
          <w:lang w:val="fr-BE"/>
        </w:rPr>
        <w:t>nie a la chance de disposer d’énormes quantités de</w:t>
      </w:r>
      <w:r w:rsidR="003147D7">
        <w:rPr>
          <w:lang w:val="fr-BE"/>
        </w:rPr>
        <w:t xml:space="preserve"> sources d’eau  </w:t>
      </w:r>
      <w:r w:rsidR="00E322E8">
        <w:rPr>
          <w:lang w:val="fr-BE"/>
        </w:rPr>
        <w:t>de très bonne</w:t>
      </w:r>
      <w:r w:rsidR="00A3184C">
        <w:rPr>
          <w:lang w:val="fr-BE"/>
        </w:rPr>
        <w:t xml:space="preserve"> haute qualité  (</w:t>
      </w:r>
      <w:r w:rsidR="003147D7" w:rsidRPr="003147D7">
        <w:rPr>
          <w:i/>
          <w:lang w:val="fr-BE"/>
        </w:rPr>
        <w:t>presque toute</w:t>
      </w:r>
      <w:r w:rsidR="00A3184C">
        <w:rPr>
          <w:i/>
          <w:lang w:val="fr-BE"/>
        </w:rPr>
        <w:t xml:space="preserve">s les rivières locales ont leur source </w:t>
      </w:r>
      <w:r w:rsidR="003147D7" w:rsidRPr="003147D7">
        <w:rPr>
          <w:i/>
          <w:lang w:val="fr-BE"/>
        </w:rPr>
        <w:t>sur le territoire du pays, la plupart dans la région alpine ou subalpine</w:t>
      </w:r>
      <w:r w:rsidR="003147D7">
        <w:rPr>
          <w:lang w:val="fr-BE"/>
        </w:rPr>
        <w:t>)</w:t>
      </w:r>
      <w:r w:rsidR="00A3184C">
        <w:rPr>
          <w:lang w:val="fr-BE"/>
        </w:rPr>
        <w:t xml:space="preserve">, </w:t>
      </w:r>
      <w:r w:rsidR="00E322E8">
        <w:rPr>
          <w:lang w:val="fr-BE"/>
        </w:rPr>
        <w:t xml:space="preserve"> par </w:t>
      </w:r>
      <w:r w:rsidR="00CA3528">
        <w:rPr>
          <w:lang w:val="fr-BE"/>
        </w:rPr>
        <w:t>rapport à sa population peu nombreuse</w:t>
      </w:r>
      <w:r w:rsidR="00E322E8">
        <w:rPr>
          <w:lang w:val="fr-BE"/>
        </w:rPr>
        <w:t>,</w:t>
      </w:r>
      <w:r w:rsidR="00CA3528">
        <w:rPr>
          <w:lang w:val="fr-BE"/>
        </w:rPr>
        <w:t xml:space="preserve"> à </w:t>
      </w:r>
      <w:r w:rsidR="00E322E8">
        <w:rPr>
          <w:lang w:val="fr-BE"/>
        </w:rPr>
        <w:t xml:space="preserve">laquelle </w:t>
      </w:r>
      <w:r w:rsidR="00CA3528">
        <w:rPr>
          <w:lang w:val="fr-BE"/>
        </w:rPr>
        <w:t>s’ajoute</w:t>
      </w:r>
      <w:r w:rsidR="00E322E8">
        <w:rPr>
          <w:lang w:val="fr-BE"/>
        </w:rPr>
        <w:t xml:space="preserve"> un </w:t>
      </w:r>
      <w:r w:rsidR="00CA3528">
        <w:rPr>
          <w:lang w:val="fr-BE"/>
        </w:rPr>
        <w:t xml:space="preserve"> </w:t>
      </w:r>
      <w:r w:rsidR="00CA3528" w:rsidRPr="00CA3528">
        <w:rPr>
          <w:lang w:val="fr-BE"/>
        </w:rPr>
        <w:t>très</w:t>
      </w:r>
      <w:r w:rsidR="00CA3528">
        <w:rPr>
          <w:i/>
          <w:lang w:val="fr-BE"/>
        </w:rPr>
        <w:t xml:space="preserve"> </w:t>
      </w:r>
      <w:r w:rsidR="00CA3528" w:rsidRPr="00CA3528">
        <w:rPr>
          <w:lang w:val="fr-BE"/>
        </w:rPr>
        <w:t>faible taux de consommation par habitant</w:t>
      </w:r>
      <w:r w:rsidR="00F473E6">
        <w:rPr>
          <w:lang w:val="fr-BE"/>
        </w:rPr>
        <w:t xml:space="preserve">. </w:t>
      </w:r>
    </w:p>
    <w:p w:rsidR="003010F3" w:rsidRDefault="00F473E6" w:rsidP="00FA379D">
      <w:pPr>
        <w:jc w:val="both"/>
        <w:rPr>
          <w:lang w:val="fr-BE"/>
        </w:rPr>
      </w:pPr>
      <w:r>
        <w:rPr>
          <w:lang w:val="fr-BE"/>
        </w:rPr>
        <w:t>D</w:t>
      </w:r>
      <w:r w:rsidR="00E322E8">
        <w:rPr>
          <w:lang w:val="fr-BE"/>
        </w:rPr>
        <w:t xml:space="preserve">’un autre </w:t>
      </w:r>
      <w:r>
        <w:rPr>
          <w:lang w:val="fr-BE"/>
        </w:rPr>
        <w:t>côté</w:t>
      </w:r>
      <w:r w:rsidR="00A3184C">
        <w:rPr>
          <w:lang w:val="fr-BE"/>
        </w:rPr>
        <w:t>,</w:t>
      </w:r>
      <w:r>
        <w:rPr>
          <w:lang w:val="fr-BE"/>
        </w:rPr>
        <w:t xml:space="preserve"> il y a</w:t>
      </w:r>
      <w:r w:rsidR="00CA3528">
        <w:rPr>
          <w:lang w:val="fr-BE"/>
        </w:rPr>
        <w:t xml:space="preserve"> des faiblesses dans la gestion </w:t>
      </w:r>
      <w:r w:rsidR="00A3184C">
        <w:rPr>
          <w:lang w:val="fr-BE"/>
        </w:rPr>
        <w:t>du</w:t>
      </w:r>
      <w:r w:rsidR="00CA3528">
        <w:rPr>
          <w:lang w:val="fr-BE"/>
        </w:rPr>
        <w:t xml:space="preserve"> système</w:t>
      </w:r>
      <w:r w:rsidR="00E322E8">
        <w:rPr>
          <w:lang w:val="fr-BE"/>
        </w:rPr>
        <w:t>,</w:t>
      </w:r>
      <w:r w:rsidR="007E0339">
        <w:rPr>
          <w:lang w:val="fr-BE"/>
        </w:rPr>
        <w:t xml:space="preserve"> comme par exemple : </w:t>
      </w:r>
      <w:r w:rsidR="00CA3528">
        <w:rPr>
          <w:lang w:val="fr-BE"/>
        </w:rPr>
        <w:t xml:space="preserve"> </w:t>
      </w:r>
      <w:r w:rsidR="00DC58EE">
        <w:rPr>
          <w:lang w:val="fr-BE"/>
        </w:rPr>
        <w:t>la vuln</w:t>
      </w:r>
      <w:r w:rsidR="00E322E8">
        <w:rPr>
          <w:lang w:val="fr-BE"/>
        </w:rPr>
        <w:t xml:space="preserve">érabilité des sources d’eau, </w:t>
      </w:r>
      <w:r w:rsidR="007E0339">
        <w:rPr>
          <w:lang w:val="fr-BE"/>
        </w:rPr>
        <w:t>le</w:t>
      </w:r>
      <w:r w:rsidR="00FA379D">
        <w:rPr>
          <w:lang w:val="fr-BE"/>
        </w:rPr>
        <w:t xml:space="preserve"> grand</w:t>
      </w:r>
      <w:r w:rsidR="00DC58EE">
        <w:rPr>
          <w:lang w:val="fr-BE"/>
        </w:rPr>
        <w:t xml:space="preserve"> nombre de gestionnaires fragmentés  d’où une surveillan</w:t>
      </w:r>
      <w:r w:rsidR="00E322E8">
        <w:rPr>
          <w:lang w:val="fr-BE"/>
        </w:rPr>
        <w:t>ce inadéquate des quantités d</w:t>
      </w:r>
      <w:r w:rsidR="00DC58EE">
        <w:rPr>
          <w:lang w:val="fr-BE"/>
        </w:rPr>
        <w:t xml:space="preserve">’eau dans le système des aqueducs locaux </w:t>
      </w:r>
      <w:r w:rsidR="00DC58EE">
        <w:rPr>
          <w:i/>
          <w:lang w:val="fr-BE"/>
        </w:rPr>
        <w:t>(</w:t>
      </w:r>
      <w:r w:rsidR="00DC58EE" w:rsidRPr="00DC58EE">
        <w:rPr>
          <w:i/>
          <w:lang w:val="fr-BE"/>
        </w:rPr>
        <w:t>beaucoup</w:t>
      </w:r>
      <w:r w:rsidR="00DC58EE">
        <w:rPr>
          <w:lang w:val="fr-BE"/>
        </w:rPr>
        <w:t xml:space="preserve">  </w:t>
      </w:r>
      <w:r w:rsidR="00DC58EE">
        <w:rPr>
          <w:i/>
          <w:lang w:val="fr-BE"/>
        </w:rPr>
        <w:t>d’eau potable est tout simplement perdue</w:t>
      </w:r>
      <w:r w:rsidR="00DC58EE">
        <w:rPr>
          <w:lang w:val="fr-BE"/>
        </w:rPr>
        <w:t>), la qualité de l’alimentation en eau pot</w:t>
      </w:r>
      <w:r w:rsidR="007E0339">
        <w:rPr>
          <w:lang w:val="fr-BE"/>
        </w:rPr>
        <w:t>able dans les villages reculés non</w:t>
      </w:r>
      <w:r w:rsidR="00DC58EE">
        <w:rPr>
          <w:lang w:val="fr-BE"/>
        </w:rPr>
        <w:t xml:space="preserve"> standardisée, </w:t>
      </w:r>
      <w:r>
        <w:rPr>
          <w:lang w:val="fr-BE"/>
        </w:rPr>
        <w:t>le nombre élevé de</w:t>
      </w:r>
      <w:r w:rsidR="00235D5B">
        <w:rPr>
          <w:lang w:val="fr-BE"/>
        </w:rPr>
        <w:t xml:space="preserve"> système</w:t>
      </w:r>
      <w:r>
        <w:rPr>
          <w:lang w:val="fr-BE"/>
        </w:rPr>
        <w:t>s</w:t>
      </w:r>
      <w:r w:rsidR="00235D5B">
        <w:rPr>
          <w:lang w:val="fr-BE"/>
        </w:rPr>
        <w:t xml:space="preserve"> d’alimentation obsolètes, le financement </w:t>
      </w:r>
      <w:r w:rsidR="007E0339">
        <w:rPr>
          <w:lang w:val="fr-BE"/>
        </w:rPr>
        <w:t xml:space="preserve"> insuffisant </w:t>
      </w:r>
      <w:r w:rsidR="00235D5B">
        <w:rPr>
          <w:lang w:val="fr-BE"/>
        </w:rPr>
        <w:t>des investissements dans la modernisation des systèmes</w:t>
      </w:r>
      <w:r w:rsidR="007E0339">
        <w:rPr>
          <w:lang w:val="fr-BE"/>
        </w:rPr>
        <w:t xml:space="preserve">, </w:t>
      </w:r>
      <w:r w:rsidR="00235D5B">
        <w:rPr>
          <w:lang w:val="fr-BE"/>
        </w:rPr>
        <w:t xml:space="preserve">d’où une très grande dépendance </w:t>
      </w:r>
      <w:r w:rsidR="00E322E8">
        <w:rPr>
          <w:lang w:val="fr-BE"/>
        </w:rPr>
        <w:t>aux</w:t>
      </w:r>
      <w:r w:rsidR="00235D5B">
        <w:rPr>
          <w:lang w:val="fr-BE"/>
        </w:rPr>
        <w:t xml:space="preserve"> fonds européens, etc.</w:t>
      </w:r>
    </w:p>
    <w:p w:rsidR="007E0339" w:rsidRDefault="007E0339" w:rsidP="00FA379D">
      <w:pPr>
        <w:jc w:val="both"/>
        <w:rPr>
          <w:lang w:val="fr-BE"/>
        </w:rPr>
      </w:pPr>
    </w:p>
    <w:p w:rsidR="00101D3A" w:rsidRPr="004872FC" w:rsidRDefault="00FA379D" w:rsidP="00FA379D">
      <w:pPr>
        <w:jc w:val="both"/>
        <w:rPr>
          <w:lang w:val="fr-BE"/>
        </w:rPr>
      </w:pPr>
      <w:r w:rsidRPr="00FA379D">
        <w:rPr>
          <w:i/>
          <w:u w:val="single"/>
          <w:lang w:val="fr-BE"/>
        </w:rPr>
        <w:lastRenderedPageBreak/>
        <w:t xml:space="preserve"> </w:t>
      </w:r>
      <w:r w:rsidRPr="00FA379D">
        <w:rPr>
          <w:b/>
          <w:u w:val="single"/>
          <w:lang w:val="fr-BE"/>
        </w:rPr>
        <w:t>Le</w:t>
      </w:r>
      <w:r w:rsidR="001E1D5F" w:rsidRPr="00FA379D">
        <w:rPr>
          <w:b/>
          <w:u w:val="single"/>
          <w:lang w:val="fr-BE"/>
        </w:rPr>
        <w:t xml:space="preserve"> traitement des eaux résiduelles</w:t>
      </w:r>
      <w:r w:rsidR="001E1D5F">
        <w:rPr>
          <w:lang w:val="fr-BE"/>
        </w:rPr>
        <w:t xml:space="preserve"> est auss</w:t>
      </w:r>
      <w:r>
        <w:rPr>
          <w:lang w:val="fr-BE"/>
        </w:rPr>
        <w:t>i dans les mains des</w:t>
      </w:r>
      <w:r w:rsidR="001E1D5F">
        <w:rPr>
          <w:lang w:val="fr-BE"/>
        </w:rPr>
        <w:t xml:space="preserve"> intercommunales. En 2014</w:t>
      </w:r>
      <w:r w:rsidR="00E322E8">
        <w:rPr>
          <w:lang w:val="fr-BE"/>
        </w:rPr>
        <w:t>,</w:t>
      </w:r>
      <w:r w:rsidR="001E1D5F">
        <w:rPr>
          <w:lang w:val="fr-BE"/>
        </w:rPr>
        <w:t xml:space="preserve"> ces entreprises ont traité dans les systèmes de canalisation des eaux usées une quantité totale de </w:t>
      </w:r>
      <w:r w:rsidR="000818CA">
        <w:rPr>
          <w:b/>
          <w:lang w:val="fr-BE"/>
        </w:rPr>
        <w:t>183,2 millions m3</w:t>
      </w:r>
      <w:r w:rsidR="001E1D5F">
        <w:rPr>
          <w:b/>
          <w:lang w:val="fr-BE"/>
        </w:rPr>
        <w:t xml:space="preserve">. </w:t>
      </w:r>
      <w:r w:rsidR="001E1D5F">
        <w:rPr>
          <w:lang w:val="fr-BE"/>
        </w:rPr>
        <w:t xml:space="preserve">Un peu plus </w:t>
      </w:r>
      <w:r w:rsidR="00E322E8">
        <w:rPr>
          <w:lang w:val="fr-BE"/>
        </w:rPr>
        <w:t>de</w:t>
      </w:r>
      <w:r w:rsidR="001E1D5F">
        <w:rPr>
          <w:lang w:val="fr-BE"/>
        </w:rPr>
        <w:t xml:space="preserve"> la moitié de ces eaux provient des précipitations (pluie, neige</w:t>
      </w:r>
      <w:r w:rsidR="00285966">
        <w:rPr>
          <w:lang w:val="fr-BE"/>
        </w:rPr>
        <w:t xml:space="preserve">), </w:t>
      </w:r>
      <w:r w:rsidR="00E322E8">
        <w:rPr>
          <w:lang w:val="fr-BE"/>
        </w:rPr>
        <w:t xml:space="preserve">autour de 37% </w:t>
      </w:r>
      <w:r w:rsidR="00285966">
        <w:rPr>
          <w:lang w:val="fr-BE"/>
        </w:rPr>
        <w:t>proviennent des ménages (</w:t>
      </w:r>
      <w:r w:rsidR="00285966" w:rsidRPr="00B07030">
        <w:rPr>
          <w:i/>
          <w:lang w:val="fr-BE"/>
        </w:rPr>
        <w:t>quasi 70  millions m3  repr</w:t>
      </w:r>
      <w:r w:rsidR="00B07030" w:rsidRPr="00B07030">
        <w:rPr>
          <w:i/>
          <w:lang w:val="fr-BE"/>
        </w:rPr>
        <w:t>ésentait en 2014 une augmentation</w:t>
      </w:r>
      <w:r w:rsidR="00B07030">
        <w:rPr>
          <w:lang w:val="fr-BE"/>
        </w:rPr>
        <w:t xml:space="preserve"> </w:t>
      </w:r>
      <w:r w:rsidR="00B07030" w:rsidRPr="00B07030">
        <w:rPr>
          <w:i/>
          <w:lang w:val="fr-BE"/>
        </w:rPr>
        <w:t>de  6,4% par rapport à l’année précédente</w:t>
      </w:r>
      <w:r w:rsidR="00B07030">
        <w:rPr>
          <w:lang w:val="fr-BE"/>
        </w:rPr>
        <w:t>)</w:t>
      </w:r>
      <w:r w:rsidR="00285966">
        <w:rPr>
          <w:lang w:val="fr-BE"/>
        </w:rPr>
        <w:t xml:space="preserve">, environ 12 %  </w:t>
      </w:r>
      <w:r w:rsidR="007E0339">
        <w:rPr>
          <w:lang w:val="fr-BE"/>
        </w:rPr>
        <w:t xml:space="preserve">provient </w:t>
      </w:r>
      <w:r w:rsidR="00285966">
        <w:rPr>
          <w:lang w:val="fr-BE"/>
        </w:rPr>
        <w:t xml:space="preserve">de l’industrie et </w:t>
      </w:r>
      <w:r w:rsidR="007E0339">
        <w:rPr>
          <w:lang w:val="fr-BE"/>
        </w:rPr>
        <w:t>d’autres</w:t>
      </w:r>
      <w:r w:rsidR="00B07030">
        <w:rPr>
          <w:lang w:val="fr-BE"/>
        </w:rPr>
        <w:t xml:space="preserve"> activités économiques</w:t>
      </w:r>
      <w:r w:rsidR="007E0339">
        <w:rPr>
          <w:lang w:val="fr-BE"/>
        </w:rPr>
        <w:t>,</w:t>
      </w:r>
      <w:r w:rsidR="00B07030">
        <w:rPr>
          <w:lang w:val="fr-BE"/>
        </w:rPr>
        <w:t xml:space="preserve"> </w:t>
      </w:r>
      <w:r w:rsidR="00285966">
        <w:rPr>
          <w:lang w:val="fr-BE"/>
        </w:rPr>
        <w:t xml:space="preserve"> tandis qu’</w:t>
      </w:r>
      <w:r w:rsidR="00E322E8">
        <w:rPr>
          <w:lang w:val="fr-BE"/>
        </w:rPr>
        <w:t xml:space="preserve">un demi </w:t>
      </w:r>
      <w:r w:rsidR="00B07030">
        <w:rPr>
          <w:lang w:val="fr-BE"/>
        </w:rPr>
        <w:t xml:space="preserve"> pourcent </w:t>
      </w:r>
      <w:r w:rsidR="007E0339">
        <w:rPr>
          <w:lang w:val="fr-BE"/>
        </w:rPr>
        <w:t xml:space="preserve">résulte </w:t>
      </w:r>
      <w:r w:rsidR="00285966">
        <w:rPr>
          <w:lang w:val="fr-BE"/>
        </w:rPr>
        <w:t xml:space="preserve"> de l’exp</w:t>
      </w:r>
      <w:r w:rsidR="00E322E8">
        <w:rPr>
          <w:lang w:val="fr-BE"/>
        </w:rPr>
        <w:t xml:space="preserve">loitation agricole, forestière </w:t>
      </w:r>
      <w:r w:rsidR="00285966">
        <w:rPr>
          <w:lang w:val="fr-BE"/>
        </w:rPr>
        <w:t xml:space="preserve">ou de la pêche. </w:t>
      </w:r>
      <w:r>
        <w:rPr>
          <w:lang w:val="fr-BE"/>
        </w:rPr>
        <w:t>2014 a</w:t>
      </w:r>
      <w:r w:rsidR="00B07030">
        <w:rPr>
          <w:lang w:val="fr-BE"/>
        </w:rPr>
        <w:t xml:space="preserve"> enregistré par rapport à l’année précédente 2013  une hausse de </w:t>
      </w:r>
      <w:r w:rsidR="00B07030">
        <w:rPr>
          <w:b/>
          <w:lang w:val="fr-BE"/>
        </w:rPr>
        <w:t xml:space="preserve">19,5%  </w:t>
      </w:r>
      <w:r w:rsidR="00B07030">
        <w:rPr>
          <w:lang w:val="fr-BE"/>
        </w:rPr>
        <w:t>des eaux résidu</w:t>
      </w:r>
      <w:r w:rsidR="00E322E8">
        <w:rPr>
          <w:lang w:val="fr-BE"/>
        </w:rPr>
        <w:t>elles  écoulées dans le système</w:t>
      </w:r>
      <w:r w:rsidR="00B07030">
        <w:rPr>
          <w:lang w:val="fr-BE"/>
        </w:rPr>
        <w:t xml:space="preserve"> de canalisation après avoir été traitées et épurées selon les normes exigé</w:t>
      </w:r>
      <w:r w:rsidR="00E322E8">
        <w:rPr>
          <w:lang w:val="fr-BE"/>
        </w:rPr>
        <w:t>e</w:t>
      </w:r>
      <w:r w:rsidR="00B07030">
        <w:rPr>
          <w:lang w:val="fr-BE"/>
        </w:rPr>
        <w:t xml:space="preserve">s par la Directive correspondante de la Commission de l’U.E. </w:t>
      </w:r>
      <w:r w:rsidR="00B2073C">
        <w:rPr>
          <w:lang w:val="fr-BE"/>
        </w:rPr>
        <w:t xml:space="preserve"> Cependant</w:t>
      </w:r>
      <w:r w:rsidR="007E0339">
        <w:rPr>
          <w:lang w:val="fr-BE"/>
        </w:rPr>
        <w:t>,</w:t>
      </w:r>
      <w:r w:rsidR="00B2073C">
        <w:rPr>
          <w:lang w:val="fr-BE"/>
        </w:rPr>
        <w:t xml:space="preserve"> il faut noter que 88%  de ces eaux écoulées dans les réseaux de canalisation ont été traitées dans les stat</w:t>
      </w:r>
      <w:r w:rsidR="007E0339">
        <w:rPr>
          <w:lang w:val="fr-BE"/>
        </w:rPr>
        <w:t xml:space="preserve">ions d’épuration, les </w:t>
      </w:r>
      <w:r w:rsidR="00B2073C">
        <w:rPr>
          <w:lang w:val="fr-BE"/>
        </w:rPr>
        <w:t>12%</w:t>
      </w:r>
      <w:r w:rsidR="007E0339">
        <w:rPr>
          <w:lang w:val="fr-BE"/>
        </w:rPr>
        <w:t xml:space="preserve"> restants étant </w:t>
      </w:r>
      <w:r w:rsidR="00E322E8">
        <w:rPr>
          <w:lang w:val="fr-BE"/>
        </w:rPr>
        <w:t>entré</w:t>
      </w:r>
      <w:r w:rsidR="007E0339">
        <w:rPr>
          <w:lang w:val="fr-BE"/>
        </w:rPr>
        <w:t>s</w:t>
      </w:r>
      <w:r w:rsidR="00B2073C">
        <w:rPr>
          <w:lang w:val="fr-BE"/>
        </w:rPr>
        <w:t xml:space="preserve"> dans le système sans aucun traitement d’épuration</w:t>
      </w:r>
      <w:r>
        <w:rPr>
          <w:lang w:val="fr-BE"/>
        </w:rPr>
        <w:t xml:space="preserve"> (</w:t>
      </w:r>
      <w:r w:rsidRPr="00FA379D">
        <w:rPr>
          <w:lang w:val="fr-BE"/>
        </w:rPr>
        <w:t>soit</w:t>
      </w:r>
      <w:r w:rsidR="004872FC" w:rsidRPr="00FA379D">
        <w:rPr>
          <w:lang w:val="fr-BE"/>
        </w:rPr>
        <w:t xml:space="preserve"> </w:t>
      </w:r>
      <w:r w:rsidR="00B2073C" w:rsidRPr="00FA379D">
        <w:rPr>
          <w:lang w:val="fr-BE"/>
        </w:rPr>
        <w:t xml:space="preserve">une quantité de 10 millions </w:t>
      </w:r>
      <w:r w:rsidR="00A3184C" w:rsidRPr="00FA379D">
        <w:rPr>
          <w:lang w:val="fr-BE"/>
        </w:rPr>
        <w:t>m3  d’</w:t>
      </w:r>
      <w:r w:rsidR="002A5EC0" w:rsidRPr="00FA379D">
        <w:rPr>
          <w:lang w:val="fr-BE"/>
        </w:rPr>
        <w:t xml:space="preserve"> eaux polluées qu’on a </w:t>
      </w:r>
      <w:r w:rsidR="007E0339" w:rsidRPr="00FA379D">
        <w:rPr>
          <w:lang w:val="fr-BE"/>
        </w:rPr>
        <w:t xml:space="preserve"> tout simplement écoulé</w:t>
      </w:r>
      <w:r w:rsidR="00B2073C" w:rsidRPr="00FA379D">
        <w:rPr>
          <w:lang w:val="fr-BE"/>
        </w:rPr>
        <w:t xml:space="preserve"> dans les réseaux</w:t>
      </w:r>
      <w:r w:rsidR="00A3184C" w:rsidRPr="00FA379D">
        <w:rPr>
          <w:lang w:val="fr-BE"/>
        </w:rPr>
        <w:t>,</w:t>
      </w:r>
      <w:r w:rsidR="00B2073C" w:rsidRPr="00FA379D">
        <w:rPr>
          <w:lang w:val="fr-BE"/>
        </w:rPr>
        <w:t xml:space="preserve"> dont 2/3  a</w:t>
      </w:r>
      <w:r w:rsidR="00A3184C" w:rsidRPr="00FA379D">
        <w:rPr>
          <w:lang w:val="fr-BE"/>
        </w:rPr>
        <w:t xml:space="preserve"> </w:t>
      </w:r>
      <w:r w:rsidR="004872FC" w:rsidRPr="00FA379D">
        <w:rPr>
          <w:lang w:val="fr-BE"/>
        </w:rPr>
        <w:t xml:space="preserve">terminé dans </w:t>
      </w:r>
      <w:r w:rsidR="00A3184C" w:rsidRPr="00FA379D">
        <w:rPr>
          <w:lang w:val="fr-BE"/>
        </w:rPr>
        <w:t>l’eau</w:t>
      </w:r>
      <w:r w:rsidR="007E0339" w:rsidRPr="00FA379D">
        <w:rPr>
          <w:lang w:val="fr-BE"/>
        </w:rPr>
        <w:t xml:space="preserve"> courante tandis que  1/3 </w:t>
      </w:r>
      <w:r w:rsidR="00A3184C" w:rsidRPr="00FA379D">
        <w:rPr>
          <w:lang w:val="fr-BE"/>
        </w:rPr>
        <w:t xml:space="preserve">a </w:t>
      </w:r>
      <w:r w:rsidR="004872FC" w:rsidRPr="00FA379D">
        <w:rPr>
          <w:lang w:val="fr-BE"/>
        </w:rPr>
        <w:t>atteint les rivières souterraines.</w:t>
      </w:r>
      <w:r w:rsidRPr="00FA379D">
        <w:rPr>
          <w:lang w:val="fr-BE"/>
        </w:rPr>
        <w:t>)</w:t>
      </w:r>
      <w:r w:rsidR="004872FC">
        <w:rPr>
          <w:lang w:val="fr-BE"/>
        </w:rPr>
        <w:t xml:space="preserve"> </w:t>
      </w:r>
    </w:p>
    <w:p w:rsidR="00101D3A" w:rsidRDefault="00A56B66" w:rsidP="00FA379D">
      <w:pPr>
        <w:jc w:val="both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 xml:space="preserve">Les opérateurs dans le secteur de l’Eau </w:t>
      </w:r>
      <w:r w:rsidR="00B30CE0">
        <w:rPr>
          <w:b/>
          <w:sz w:val="32"/>
          <w:szCs w:val="32"/>
          <w:u w:val="single"/>
          <w:lang w:val="fr-BE"/>
        </w:rPr>
        <w:t> :</w:t>
      </w:r>
    </w:p>
    <w:p w:rsidR="00CD0A82" w:rsidRDefault="005B651F" w:rsidP="00FA379D">
      <w:pPr>
        <w:jc w:val="both"/>
        <w:rPr>
          <w:lang w:val="fr-BE"/>
        </w:rPr>
      </w:pPr>
      <w:r>
        <w:rPr>
          <w:lang w:val="fr-BE"/>
        </w:rPr>
        <w:t xml:space="preserve">La gestion </w:t>
      </w:r>
      <w:r w:rsidRPr="005B651F">
        <w:rPr>
          <w:u w:val="single"/>
          <w:lang w:val="fr-BE"/>
        </w:rPr>
        <w:t>des systèmes d’alimentation en eau potable</w:t>
      </w:r>
      <w:r>
        <w:rPr>
          <w:lang w:val="fr-BE"/>
        </w:rPr>
        <w:t xml:space="preserve"> en Slovénie </w:t>
      </w:r>
      <w:r w:rsidR="00CD0A82">
        <w:rPr>
          <w:lang w:val="fr-BE"/>
        </w:rPr>
        <w:t xml:space="preserve">est </w:t>
      </w:r>
      <w:r w:rsidR="002A5EC0">
        <w:rPr>
          <w:lang w:val="fr-BE"/>
        </w:rPr>
        <w:t>très décentralisé</w:t>
      </w:r>
      <w:r w:rsidR="00CD0A82">
        <w:rPr>
          <w:lang w:val="fr-BE"/>
        </w:rPr>
        <w:t xml:space="preserve">e et placée </w:t>
      </w:r>
      <w:r w:rsidR="002A5EC0">
        <w:rPr>
          <w:lang w:val="fr-BE"/>
        </w:rPr>
        <w:t xml:space="preserve">généralement </w:t>
      </w:r>
      <w:r w:rsidR="00FA379D">
        <w:rPr>
          <w:lang w:val="fr-BE"/>
        </w:rPr>
        <w:t>dans les mains d’une centaine de</w:t>
      </w:r>
      <w:r>
        <w:rPr>
          <w:lang w:val="fr-BE"/>
        </w:rPr>
        <w:t xml:space="preserve"> </w:t>
      </w:r>
      <w:r w:rsidR="002A5EC0">
        <w:rPr>
          <w:lang w:val="fr-BE"/>
        </w:rPr>
        <w:t>communes</w:t>
      </w:r>
      <w:r w:rsidR="00FA379D">
        <w:rPr>
          <w:lang w:val="fr-BE"/>
        </w:rPr>
        <w:t>.</w:t>
      </w:r>
      <w:r>
        <w:rPr>
          <w:lang w:val="fr-BE"/>
        </w:rPr>
        <w:t xml:space="preserve"> Bien évidemment  l</w:t>
      </w:r>
      <w:r w:rsidR="00D029F7">
        <w:rPr>
          <w:lang w:val="fr-BE"/>
        </w:rPr>
        <w:t>es 5 plus grand</w:t>
      </w:r>
      <w:r>
        <w:rPr>
          <w:lang w:val="fr-BE"/>
        </w:rPr>
        <w:t xml:space="preserve">s </w:t>
      </w:r>
      <w:r w:rsidR="00D029F7">
        <w:rPr>
          <w:lang w:val="fr-BE"/>
        </w:rPr>
        <w:t xml:space="preserve">gestionnaires publics </w:t>
      </w:r>
      <w:r w:rsidR="002A5EC0">
        <w:rPr>
          <w:lang w:val="fr-BE"/>
        </w:rPr>
        <w:t xml:space="preserve">intercommunaux </w:t>
      </w:r>
      <w:r w:rsidR="00D029F7">
        <w:rPr>
          <w:lang w:val="fr-BE"/>
        </w:rPr>
        <w:t>sont concentré</w:t>
      </w:r>
      <w:r>
        <w:rPr>
          <w:lang w:val="fr-BE"/>
        </w:rPr>
        <w:t>s</w:t>
      </w:r>
      <w:r w:rsidR="00D029F7">
        <w:rPr>
          <w:lang w:val="fr-BE"/>
        </w:rPr>
        <w:t xml:space="preserve">  dans les régions les plus peuplées. Rien que dans la région centrale où se trouve la capitale</w:t>
      </w:r>
      <w:r w:rsidR="00CD0A82">
        <w:rPr>
          <w:lang w:val="fr-BE"/>
        </w:rPr>
        <w:t>,</w:t>
      </w:r>
      <w:r w:rsidR="00D029F7">
        <w:rPr>
          <w:lang w:val="fr-BE"/>
        </w:rPr>
        <w:t xml:space="preserve"> Ljubljana</w:t>
      </w:r>
      <w:r w:rsidR="00CD0A82">
        <w:rPr>
          <w:lang w:val="fr-BE"/>
        </w:rPr>
        <w:t>,</w:t>
      </w:r>
      <w:r w:rsidR="00D029F7">
        <w:rPr>
          <w:lang w:val="fr-BE"/>
        </w:rPr>
        <w:t xml:space="preserve">  </w:t>
      </w:r>
      <w:r w:rsidR="000818CA">
        <w:rPr>
          <w:lang w:val="fr-BE"/>
        </w:rPr>
        <w:t xml:space="preserve">pendant les dernières années </w:t>
      </w:r>
      <w:r w:rsidR="00D029F7">
        <w:rPr>
          <w:lang w:val="fr-BE"/>
        </w:rPr>
        <w:t xml:space="preserve">on a puisé </w:t>
      </w:r>
      <w:r w:rsidR="000818CA">
        <w:rPr>
          <w:lang w:val="fr-BE"/>
        </w:rPr>
        <w:t>51,8 millions m3 d’eau par an, à quoi s’ajoutai</w:t>
      </w:r>
      <w:r w:rsidR="00CD0A82">
        <w:rPr>
          <w:lang w:val="fr-BE"/>
        </w:rPr>
        <w:t>en</w:t>
      </w:r>
      <w:r w:rsidR="000818CA">
        <w:rPr>
          <w:lang w:val="fr-BE"/>
        </w:rPr>
        <w:t>t les régions de Maribor et Celje</w:t>
      </w:r>
      <w:r w:rsidR="00CD0A82">
        <w:rPr>
          <w:lang w:val="fr-BE"/>
        </w:rPr>
        <w:t xml:space="preserve">, </w:t>
      </w:r>
      <w:r w:rsidR="000818CA">
        <w:rPr>
          <w:lang w:val="fr-BE"/>
        </w:rPr>
        <w:t xml:space="preserve"> respectivement avec  leurs  26,1 millions m3 et  21,4 millions m</w:t>
      </w:r>
      <w:r w:rsidR="00272D06">
        <w:rPr>
          <w:lang w:val="fr-BE"/>
        </w:rPr>
        <w:t>3</w:t>
      </w:r>
      <w:r w:rsidR="00CD0A82">
        <w:rPr>
          <w:lang w:val="fr-BE"/>
        </w:rPr>
        <w:t>,</w:t>
      </w:r>
      <w:r w:rsidR="00272D06">
        <w:rPr>
          <w:lang w:val="fr-BE"/>
        </w:rPr>
        <w:t xml:space="preserve">  ainsi </w:t>
      </w:r>
      <w:r w:rsidR="005C453C">
        <w:rPr>
          <w:lang w:val="fr-BE"/>
        </w:rPr>
        <w:t>que les régions de G</w:t>
      </w:r>
      <w:r w:rsidR="002A5EC0">
        <w:rPr>
          <w:lang w:val="fr-BE"/>
        </w:rPr>
        <w:t>orenjska  et  Goriska avec respectivement</w:t>
      </w:r>
      <w:r w:rsidR="005C453C">
        <w:rPr>
          <w:lang w:val="fr-BE"/>
        </w:rPr>
        <w:t xml:space="preserve"> 19,8 millions m3 et 12,7 millions m3 , </w:t>
      </w:r>
      <w:r w:rsidR="000818CA">
        <w:rPr>
          <w:lang w:val="fr-BE"/>
        </w:rPr>
        <w:t xml:space="preserve"> ce qu</w:t>
      </w:r>
      <w:r w:rsidR="00CD0A82">
        <w:rPr>
          <w:lang w:val="fr-BE"/>
        </w:rPr>
        <w:t>i</w:t>
      </w:r>
      <w:r w:rsidR="00272D06">
        <w:rPr>
          <w:lang w:val="fr-BE"/>
        </w:rPr>
        <w:t xml:space="preserve"> représ</w:t>
      </w:r>
      <w:r w:rsidR="00CD0A82">
        <w:rPr>
          <w:lang w:val="fr-BE"/>
        </w:rPr>
        <w:t>entait  environ les</w:t>
      </w:r>
      <w:r w:rsidR="00272D06">
        <w:rPr>
          <w:lang w:val="fr-BE"/>
        </w:rPr>
        <w:t xml:space="preserve"> </w:t>
      </w:r>
      <w:r w:rsidR="000818CA">
        <w:rPr>
          <w:lang w:val="fr-BE"/>
        </w:rPr>
        <w:t xml:space="preserve"> </w:t>
      </w:r>
      <w:r w:rsidR="005C453C">
        <w:rPr>
          <w:lang w:val="fr-BE"/>
        </w:rPr>
        <w:t xml:space="preserve">3/4 </w:t>
      </w:r>
      <w:r w:rsidR="00272D06">
        <w:rPr>
          <w:lang w:val="fr-BE"/>
        </w:rPr>
        <w:t xml:space="preserve">  de tout le volume d’eau puisée dans le pays. </w:t>
      </w:r>
    </w:p>
    <w:p w:rsidR="005B651F" w:rsidRDefault="0012525D" w:rsidP="00E93ABA">
      <w:pPr>
        <w:rPr>
          <w:lang w:val="fr-BE"/>
        </w:rPr>
      </w:pPr>
      <w:r>
        <w:rPr>
          <w:lang w:val="fr-BE"/>
        </w:rPr>
        <w:t xml:space="preserve"> </w:t>
      </w:r>
      <w:r w:rsidR="00CD0A82">
        <w:rPr>
          <w:lang w:val="fr-BE"/>
        </w:rPr>
        <w:t>Les</w:t>
      </w:r>
      <w:r>
        <w:rPr>
          <w:lang w:val="fr-BE"/>
        </w:rPr>
        <w:t xml:space="preserve"> 5 </w:t>
      </w:r>
      <w:r w:rsidR="005C453C">
        <w:rPr>
          <w:lang w:val="fr-BE"/>
        </w:rPr>
        <w:t>plus grands opérateurs /gestionnaires locaux dans le secteur de l’Eau sont les suivants :</w:t>
      </w:r>
    </w:p>
    <w:p w:rsidR="005C453C" w:rsidRDefault="005C453C" w:rsidP="00E93ABA">
      <w:pPr>
        <w:rPr>
          <w:b/>
          <w:lang w:val="fr-BE"/>
        </w:rPr>
      </w:pPr>
      <w:r w:rsidRPr="005C453C">
        <w:rPr>
          <w:b/>
          <w:lang w:val="fr-BE"/>
        </w:rPr>
        <w:t>JP  Vodovod – Kanalizacija  / VO-KA  d.o.</w:t>
      </w:r>
      <w:r>
        <w:rPr>
          <w:b/>
          <w:lang w:val="fr-BE"/>
        </w:rPr>
        <w:t xml:space="preserve">o.   </w:t>
      </w:r>
      <w:r w:rsidRPr="005C453C">
        <w:rPr>
          <w:b/>
          <w:lang w:val="fr-BE"/>
        </w:rPr>
        <w:t xml:space="preserve"> </w:t>
      </w:r>
      <w:r>
        <w:rPr>
          <w:b/>
          <w:lang w:val="fr-BE"/>
        </w:rPr>
        <w:t>-   Ljubljana</w:t>
      </w:r>
    </w:p>
    <w:p w:rsidR="005C453C" w:rsidRPr="002F43AA" w:rsidRDefault="005C453C" w:rsidP="00E93ABA">
      <w:pPr>
        <w:rPr>
          <w:b/>
        </w:rPr>
      </w:pPr>
      <w:r w:rsidRPr="00FA379D">
        <w:rPr>
          <w:b/>
          <w:lang w:val="fr-BE"/>
        </w:rPr>
        <w:t xml:space="preserve">JP  Mariborski vodovod d.d.  </w:t>
      </w:r>
      <w:r w:rsidRPr="002F43AA">
        <w:rPr>
          <w:b/>
        </w:rPr>
        <w:t>– Maribor</w:t>
      </w:r>
    </w:p>
    <w:p w:rsidR="005C453C" w:rsidRPr="00FA379D" w:rsidRDefault="005C453C" w:rsidP="00E93ABA">
      <w:pPr>
        <w:rPr>
          <w:b/>
          <w:lang w:val="nl-BE"/>
        </w:rPr>
      </w:pPr>
      <w:r w:rsidRPr="00FA379D">
        <w:rPr>
          <w:b/>
          <w:lang w:val="nl-BE"/>
        </w:rPr>
        <w:t>JP  Vodovod – Kanalizacija  d.o.o.  – Celje</w:t>
      </w:r>
      <w:r w:rsidR="0012525D" w:rsidRPr="00FA379D">
        <w:rPr>
          <w:b/>
          <w:lang w:val="nl-BE"/>
        </w:rPr>
        <w:t xml:space="preserve">  (avec « Komunalno podjetje Velenje  d.o.o.)</w:t>
      </w:r>
      <w:r w:rsidRPr="00FA379D">
        <w:rPr>
          <w:b/>
          <w:lang w:val="nl-BE"/>
        </w:rPr>
        <w:t xml:space="preserve"> </w:t>
      </w:r>
    </w:p>
    <w:p w:rsidR="0012525D" w:rsidRDefault="0012525D" w:rsidP="00E93ABA">
      <w:pPr>
        <w:rPr>
          <w:b/>
          <w:lang w:val="fr-FR"/>
        </w:rPr>
      </w:pPr>
      <w:r>
        <w:rPr>
          <w:b/>
          <w:lang w:val="fr-FR"/>
        </w:rPr>
        <w:t>JP  Komunala  Kranj  -  Région de Gorenjska</w:t>
      </w:r>
    </w:p>
    <w:p w:rsidR="0012525D" w:rsidRPr="00181AD7" w:rsidRDefault="0012525D" w:rsidP="00E93ABA">
      <w:pPr>
        <w:rPr>
          <w:b/>
          <w:lang w:val="fr-FR"/>
        </w:rPr>
      </w:pPr>
      <w:r w:rsidRPr="00FA379D">
        <w:rPr>
          <w:b/>
          <w:lang w:val="nl-BE"/>
        </w:rPr>
        <w:t xml:space="preserve">Vodovodi in kanalizacija  d.d.  </w:t>
      </w:r>
      <w:r w:rsidRPr="00181AD7">
        <w:rPr>
          <w:b/>
          <w:lang w:val="fr-FR"/>
        </w:rPr>
        <w:t>– Nova Gorica</w:t>
      </w:r>
      <w:r w:rsidR="002A5EC0">
        <w:rPr>
          <w:b/>
          <w:lang w:val="fr-FR"/>
        </w:rPr>
        <w:t xml:space="preserve">  (région de Goriska)</w:t>
      </w:r>
    </w:p>
    <w:p w:rsidR="005007C9" w:rsidRDefault="00FA379D" w:rsidP="00FA379D">
      <w:pPr>
        <w:jc w:val="both"/>
        <w:rPr>
          <w:lang w:val="fr-FR"/>
        </w:rPr>
      </w:pPr>
      <w:r>
        <w:rPr>
          <w:lang w:val="fr-FR"/>
        </w:rPr>
        <w:t xml:space="preserve">A noter </w:t>
      </w:r>
      <w:r w:rsidR="0012525D">
        <w:rPr>
          <w:lang w:val="fr-FR"/>
        </w:rPr>
        <w:t xml:space="preserve"> que </w:t>
      </w:r>
      <w:r w:rsidR="00B5158C">
        <w:rPr>
          <w:lang w:val="fr-FR"/>
        </w:rPr>
        <w:t xml:space="preserve">sur le territoire de la grande région de </w:t>
      </w:r>
      <w:r w:rsidR="00CD0A82">
        <w:rPr>
          <w:lang w:val="fr-FR"/>
        </w:rPr>
        <w:t xml:space="preserve">la </w:t>
      </w:r>
      <w:r w:rsidR="00B5158C">
        <w:rPr>
          <w:lang w:val="fr-FR"/>
        </w:rPr>
        <w:t>capitale</w:t>
      </w:r>
      <w:r w:rsidR="0012525D">
        <w:rPr>
          <w:lang w:val="fr-FR"/>
        </w:rPr>
        <w:t xml:space="preserve"> Ljubljana</w:t>
      </w:r>
      <w:r w:rsidR="00CD0A82">
        <w:rPr>
          <w:lang w:val="fr-FR"/>
        </w:rPr>
        <w:t xml:space="preserve">, </w:t>
      </w:r>
      <w:r w:rsidR="0012525D">
        <w:rPr>
          <w:lang w:val="fr-FR"/>
        </w:rPr>
        <w:t xml:space="preserve"> </w:t>
      </w:r>
      <w:r w:rsidR="00B5158C">
        <w:rPr>
          <w:lang w:val="fr-FR"/>
        </w:rPr>
        <w:t xml:space="preserve">il y a </w:t>
      </w:r>
      <w:r w:rsidR="0012525D">
        <w:rPr>
          <w:lang w:val="fr-FR"/>
        </w:rPr>
        <w:t xml:space="preserve"> toujours </w:t>
      </w:r>
      <w:r w:rsidR="00B5158C">
        <w:rPr>
          <w:lang w:val="fr-FR"/>
        </w:rPr>
        <w:t xml:space="preserve">quasi  </w:t>
      </w:r>
      <w:r w:rsidR="00B5158C">
        <w:rPr>
          <w:b/>
          <w:lang w:val="fr-FR"/>
        </w:rPr>
        <w:t>1%</w:t>
      </w:r>
      <w:r w:rsidR="0012525D" w:rsidRPr="0012525D">
        <w:rPr>
          <w:lang w:val="fr-FR"/>
        </w:rPr>
        <w:t xml:space="preserve"> </w:t>
      </w:r>
      <w:r w:rsidR="00B5158C">
        <w:rPr>
          <w:lang w:val="fr-FR"/>
        </w:rPr>
        <w:t xml:space="preserve"> des ménages qui ne sont </w:t>
      </w:r>
      <w:r w:rsidR="00CD0A82">
        <w:rPr>
          <w:lang w:val="fr-FR"/>
        </w:rPr>
        <w:t>pas branchés au système central</w:t>
      </w:r>
      <w:r w:rsidR="00B5158C">
        <w:rPr>
          <w:lang w:val="fr-FR"/>
        </w:rPr>
        <w:t xml:space="preserve"> </w:t>
      </w:r>
      <w:r w:rsidR="00CD0A82">
        <w:rPr>
          <w:lang w:val="fr-FR"/>
        </w:rPr>
        <w:t>d</w:t>
      </w:r>
      <w:r w:rsidR="002A5EC0">
        <w:rPr>
          <w:lang w:val="fr-FR"/>
        </w:rPr>
        <w:t>’alimentation en eau potable. C</w:t>
      </w:r>
      <w:r w:rsidR="00B5158C">
        <w:rPr>
          <w:lang w:val="fr-FR"/>
        </w:rPr>
        <w:t>e pourcentage est encore plus élevé dans la région de Gorenjska  - Kranj (</w:t>
      </w:r>
      <w:r w:rsidR="00B5158C">
        <w:rPr>
          <w:b/>
          <w:lang w:val="fr-FR"/>
        </w:rPr>
        <w:t>1,6%</w:t>
      </w:r>
      <w:r w:rsidR="00B5158C">
        <w:rPr>
          <w:lang w:val="fr-FR"/>
        </w:rPr>
        <w:t>) et dans la ville de Maribor (</w:t>
      </w:r>
      <w:r w:rsidR="00B5158C">
        <w:rPr>
          <w:b/>
          <w:lang w:val="fr-FR"/>
        </w:rPr>
        <w:t>2,8%</w:t>
      </w:r>
      <w:r w:rsidR="00B5158C">
        <w:rPr>
          <w:lang w:val="fr-FR"/>
        </w:rPr>
        <w:t>)</w:t>
      </w:r>
      <w:r w:rsidR="00CD0A82">
        <w:rPr>
          <w:lang w:val="fr-FR"/>
        </w:rPr>
        <w:t>,</w:t>
      </w:r>
      <w:r w:rsidR="00B5158C">
        <w:rPr>
          <w:lang w:val="fr-FR"/>
        </w:rPr>
        <w:t xml:space="preserve"> ou par exemple dans la région de Celje (</w:t>
      </w:r>
      <w:r w:rsidR="00B5158C">
        <w:rPr>
          <w:b/>
          <w:lang w:val="fr-FR"/>
        </w:rPr>
        <w:t>3,6%</w:t>
      </w:r>
      <w:r w:rsidR="00B5158C">
        <w:rPr>
          <w:lang w:val="fr-FR"/>
        </w:rPr>
        <w:t>) + Velenje (</w:t>
      </w:r>
      <w:r w:rsidR="00B5158C">
        <w:rPr>
          <w:b/>
          <w:lang w:val="fr-FR"/>
        </w:rPr>
        <w:t>4,8%</w:t>
      </w:r>
      <w:r w:rsidR="00B5158C">
        <w:rPr>
          <w:lang w:val="fr-FR"/>
        </w:rPr>
        <w:t>). La situation est plus grave dans les villes et régions moins peuplées</w:t>
      </w:r>
      <w:r w:rsidR="00483A85">
        <w:rPr>
          <w:lang w:val="fr-FR"/>
        </w:rPr>
        <w:t xml:space="preserve"> où ce pourcentage varie même jusqu’à  </w:t>
      </w:r>
      <w:r w:rsidR="00483A85">
        <w:rPr>
          <w:b/>
          <w:lang w:val="fr-FR"/>
        </w:rPr>
        <w:t xml:space="preserve">76% </w:t>
      </w:r>
      <w:r w:rsidR="00483A85">
        <w:rPr>
          <w:lang w:val="fr-FR"/>
        </w:rPr>
        <w:t xml:space="preserve"> (commune de Gornji Petrovci). </w:t>
      </w:r>
    </w:p>
    <w:p w:rsidR="005007C9" w:rsidRDefault="005007C9" w:rsidP="00FA379D">
      <w:pPr>
        <w:jc w:val="both"/>
        <w:rPr>
          <w:lang w:val="fr-FR"/>
        </w:rPr>
      </w:pPr>
    </w:p>
    <w:p w:rsidR="00E1435B" w:rsidRDefault="00CD0A82" w:rsidP="00FA379D">
      <w:pPr>
        <w:jc w:val="both"/>
        <w:rPr>
          <w:lang w:val="fr-FR"/>
        </w:rPr>
      </w:pPr>
      <w:r>
        <w:rPr>
          <w:lang w:val="fr-FR"/>
        </w:rPr>
        <w:t xml:space="preserve">Un autre aspect à mentionner est </w:t>
      </w:r>
      <w:r w:rsidR="0010052C">
        <w:rPr>
          <w:lang w:val="fr-FR"/>
        </w:rPr>
        <w:t xml:space="preserve"> </w:t>
      </w:r>
      <w:r w:rsidR="0010052C" w:rsidRPr="002B2444">
        <w:rPr>
          <w:u w:val="single"/>
          <w:lang w:val="fr-FR"/>
        </w:rPr>
        <w:t>le nombre d’opérateurs dans le segment du traitement  d’épuration des eaux</w:t>
      </w:r>
      <w:r w:rsidR="0010052C">
        <w:rPr>
          <w:lang w:val="fr-FR"/>
        </w:rPr>
        <w:t xml:space="preserve"> </w:t>
      </w:r>
      <w:r w:rsidR="0010052C" w:rsidRPr="002B2444">
        <w:rPr>
          <w:u w:val="single"/>
          <w:lang w:val="fr-FR"/>
        </w:rPr>
        <w:t>résiduelles.</w:t>
      </w:r>
      <w:r w:rsidR="0010052C">
        <w:rPr>
          <w:lang w:val="fr-FR"/>
        </w:rPr>
        <w:t xml:space="preserve"> La Slovénie dispose actuellement </w:t>
      </w:r>
      <w:r w:rsidR="002B2444">
        <w:rPr>
          <w:lang w:val="fr-FR"/>
        </w:rPr>
        <w:t>d’</w:t>
      </w:r>
      <w:r w:rsidR="0010052C" w:rsidRPr="002B2444">
        <w:rPr>
          <w:b/>
          <w:lang w:val="fr-FR"/>
        </w:rPr>
        <w:t xml:space="preserve">une quinzaine </w:t>
      </w:r>
      <w:r>
        <w:rPr>
          <w:lang w:val="fr-FR"/>
        </w:rPr>
        <w:t>de</w:t>
      </w:r>
      <w:r w:rsidR="0010052C" w:rsidRPr="002B2444">
        <w:rPr>
          <w:lang w:val="fr-FR"/>
        </w:rPr>
        <w:t xml:space="preserve"> stations d’épuration des eaux usées</w:t>
      </w:r>
      <w:r w:rsidR="005007C9">
        <w:rPr>
          <w:lang w:val="fr-FR"/>
        </w:rPr>
        <w:t>. Plus d</w:t>
      </w:r>
      <w:r w:rsidR="0010052C">
        <w:rPr>
          <w:lang w:val="fr-FR"/>
        </w:rPr>
        <w:t>e la moitié de ces stations ont été cons</w:t>
      </w:r>
      <w:r w:rsidR="001B69DB">
        <w:rPr>
          <w:lang w:val="fr-FR"/>
        </w:rPr>
        <w:t>truit</w:t>
      </w:r>
      <w:r w:rsidR="009D614A">
        <w:rPr>
          <w:lang w:val="fr-FR"/>
        </w:rPr>
        <w:t>es pendant</w:t>
      </w:r>
      <w:r>
        <w:rPr>
          <w:lang w:val="fr-FR"/>
        </w:rPr>
        <w:t xml:space="preserve"> les 10 - 15 </w:t>
      </w:r>
      <w:r w:rsidR="005007C9">
        <w:rPr>
          <w:lang w:val="fr-FR"/>
        </w:rPr>
        <w:t xml:space="preserve">dernières </w:t>
      </w:r>
      <w:r>
        <w:rPr>
          <w:lang w:val="fr-FR"/>
        </w:rPr>
        <w:t>années</w:t>
      </w:r>
      <w:r w:rsidR="001B69DB">
        <w:rPr>
          <w:lang w:val="fr-FR"/>
        </w:rPr>
        <w:t>,</w:t>
      </w:r>
      <w:r w:rsidR="0010052C">
        <w:rPr>
          <w:lang w:val="fr-FR"/>
        </w:rPr>
        <w:t xml:space="preserve"> </w:t>
      </w:r>
      <w:r>
        <w:rPr>
          <w:lang w:val="fr-FR"/>
        </w:rPr>
        <w:t xml:space="preserve">ce </w:t>
      </w:r>
      <w:r w:rsidR="005007C9">
        <w:rPr>
          <w:lang w:val="fr-FR"/>
        </w:rPr>
        <w:t xml:space="preserve">essentiellement </w:t>
      </w:r>
      <w:r w:rsidR="0010052C">
        <w:rPr>
          <w:lang w:val="fr-FR"/>
        </w:rPr>
        <w:t xml:space="preserve">grâce </w:t>
      </w:r>
      <w:r w:rsidR="005007C9">
        <w:rPr>
          <w:lang w:val="fr-FR"/>
        </w:rPr>
        <w:t>aux fonds européens de</w:t>
      </w:r>
      <w:r w:rsidR="0010052C">
        <w:rPr>
          <w:lang w:val="fr-FR"/>
        </w:rPr>
        <w:t xml:space="preserve"> développement régional et de cohésion.</w:t>
      </w:r>
      <w:r w:rsidR="00BD0C92">
        <w:rPr>
          <w:lang w:val="fr-FR"/>
        </w:rPr>
        <w:t xml:space="preserve"> La plupart </w:t>
      </w:r>
      <w:r w:rsidR="00063B0C">
        <w:rPr>
          <w:lang w:val="fr-FR"/>
        </w:rPr>
        <w:t>des stations</w:t>
      </w:r>
      <w:r w:rsidR="00BD0C92">
        <w:rPr>
          <w:lang w:val="fr-FR"/>
        </w:rPr>
        <w:t xml:space="preserve"> combine</w:t>
      </w:r>
      <w:r w:rsidR="00063B0C">
        <w:rPr>
          <w:lang w:val="fr-FR"/>
        </w:rPr>
        <w:t>nt</w:t>
      </w:r>
      <w:r w:rsidR="00BD0C92">
        <w:rPr>
          <w:lang w:val="fr-FR"/>
        </w:rPr>
        <w:t xml:space="preserve"> la procédure d’épuration mécanique et biologique</w:t>
      </w:r>
      <w:r w:rsidR="0010052C">
        <w:rPr>
          <w:lang w:val="fr-FR"/>
        </w:rPr>
        <w:t xml:space="preserve"> </w:t>
      </w:r>
      <w:r w:rsidR="00BD0C92">
        <w:rPr>
          <w:lang w:val="fr-FR"/>
        </w:rPr>
        <w:t>(certaines appliquent la méthode d’oxygénation, les autres opèrent sans introduire l’oxygène).</w:t>
      </w:r>
    </w:p>
    <w:p w:rsidR="00BD0C92" w:rsidRPr="0010052C" w:rsidRDefault="00BD0C92" w:rsidP="00FA379D">
      <w:pPr>
        <w:jc w:val="both"/>
        <w:rPr>
          <w:lang w:val="fr-FR"/>
        </w:rPr>
      </w:pPr>
      <w:r>
        <w:rPr>
          <w:lang w:val="fr-FR"/>
        </w:rPr>
        <w:t>La plus grande s</w:t>
      </w:r>
      <w:r w:rsidR="00063B0C">
        <w:rPr>
          <w:lang w:val="fr-FR"/>
        </w:rPr>
        <w:t xml:space="preserve">tation d’épuration est celle </w:t>
      </w:r>
      <w:r>
        <w:rPr>
          <w:lang w:val="fr-FR"/>
        </w:rPr>
        <w:t xml:space="preserve">de </w:t>
      </w:r>
      <w:r w:rsidRPr="001B69DB">
        <w:rPr>
          <w:b/>
          <w:lang w:val="fr-FR"/>
        </w:rPr>
        <w:t>Ljubljana</w:t>
      </w:r>
      <w:r w:rsidR="00063B0C">
        <w:rPr>
          <w:b/>
          <w:lang w:val="fr-FR"/>
        </w:rPr>
        <w:t>,</w:t>
      </w:r>
      <w:r w:rsidRPr="001B69DB">
        <w:rPr>
          <w:b/>
          <w:lang w:val="fr-FR"/>
        </w:rPr>
        <w:t xml:space="preserve"> </w:t>
      </w:r>
      <w:r>
        <w:rPr>
          <w:lang w:val="fr-FR"/>
        </w:rPr>
        <w:t xml:space="preserve">dont la capacité est </w:t>
      </w:r>
      <w:r w:rsidR="00063B0C">
        <w:rPr>
          <w:lang w:val="fr-FR"/>
        </w:rPr>
        <w:t xml:space="preserve">de </w:t>
      </w:r>
      <w:r>
        <w:rPr>
          <w:lang w:val="fr-FR"/>
        </w:rPr>
        <w:t xml:space="preserve">360.000 PE, suivie par la station à </w:t>
      </w:r>
      <w:r w:rsidRPr="001B69DB">
        <w:rPr>
          <w:b/>
          <w:lang w:val="fr-FR"/>
        </w:rPr>
        <w:t>Dogose</w:t>
      </w:r>
      <w:r>
        <w:rPr>
          <w:lang w:val="fr-FR"/>
        </w:rPr>
        <w:t xml:space="preserve"> près </w:t>
      </w:r>
      <w:r w:rsidR="00063B0C">
        <w:rPr>
          <w:lang w:val="fr-FR"/>
        </w:rPr>
        <w:t xml:space="preserve">de </w:t>
      </w:r>
      <w:r>
        <w:rPr>
          <w:lang w:val="fr-FR"/>
        </w:rPr>
        <w:t>Maribor</w:t>
      </w:r>
      <w:r w:rsidR="00063B0C">
        <w:rPr>
          <w:lang w:val="fr-FR"/>
        </w:rPr>
        <w:t>,</w:t>
      </w:r>
      <w:r>
        <w:rPr>
          <w:lang w:val="fr-FR"/>
        </w:rPr>
        <w:t xml:space="preserve"> avec une capacité de 195.000 PE  mais qu’on peut étendre à 285.000 PE, </w:t>
      </w:r>
      <w:r w:rsidR="002B2444">
        <w:rPr>
          <w:lang w:val="fr-FR"/>
        </w:rPr>
        <w:t xml:space="preserve">puis </w:t>
      </w:r>
      <w:r w:rsidR="002A5EC0">
        <w:rPr>
          <w:lang w:val="fr-FR"/>
        </w:rPr>
        <w:t xml:space="preserve"> </w:t>
      </w:r>
      <w:r w:rsidR="002A5EC0">
        <w:rPr>
          <w:b/>
          <w:lang w:val="fr-FR"/>
        </w:rPr>
        <w:t>SdE</w:t>
      </w:r>
      <w:r w:rsidR="002B2444" w:rsidRPr="001B69DB">
        <w:rPr>
          <w:b/>
          <w:lang w:val="fr-FR"/>
        </w:rPr>
        <w:t xml:space="preserve">  à  Kranj</w:t>
      </w:r>
      <w:r w:rsidR="002B2444">
        <w:rPr>
          <w:lang w:val="fr-FR"/>
        </w:rPr>
        <w:t xml:space="preserve"> avec sa capacité de 100.00</w:t>
      </w:r>
      <w:r w:rsidR="002A5EC0">
        <w:rPr>
          <w:lang w:val="fr-FR"/>
        </w:rPr>
        <w:t>0 PE  et ainsi de suite ….. (SdE</w:t>
      </w:r>
      <w:r w:rsidR="002B2444">
        <w:rPr>
          <w:lang w:val="fr-FR"/>
        </w:rPr>
        <w:t xml:space="preserve"> de Celje avec  une capacité de </w:t>
      </w:r>
      <w:r w:rsidR="002A5EC0">
        <w:rPr>
          <w:lang w:val="fr-FR"/>
        </w:rPr>
        <w:t>85.000 PE, SdE à Novo mesto  - 45.000 PE,   SdE de</w:t>
      </w:r>
      <w:r w:rsidR="002B2444">
        <w:rPr>
          <w:lang w:val="fr-FR"/>
        </w:rPr>
        <w:t xml:space="preserve">  Domzale – Kamnik  avec la capacité totale de 35.000 PE, etc.).   </w:t>
      </w:r>
    </w:p>
    <w:p w:rsidR="00E93ABA" w:rsidRDefault="00B42156" w:rsidP="00FA379D">
      <w:pPr>
        <w:jc w:val="both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 xml:space="preserve">L’infrastructure </w:t>
      </w:r>
      <w:r w:rsidR="006C3613">
        <w:rPr>
          <w:b/>
          <w:sz w:val="32"/>
          <w:szCs w:val="32"/>
          <w:u w:val="single"/>
          <w:lang w:val="fr-BE"/>
        </w:rPr>
        <w:t xml:space="preserve">et les projets </w:t>
      </w:r>
      <w:r w:rsidR="00A56B66">
        <w:rPr>
          <w:b/>
          <w:sz w:val="32"/>
          <w:szCs w:val="32"/>
          <w:u w:val="single"/>
          <w:lang w:val="fr-BE"/>
        </w:rPr>
        <w:t>d’exp</w:t>
      </w:r>
      <w:r>
        <w:rPr>
          <w:b/>
          <w:sz w:val="32"/>
          <w:szCs w:val="32"/>
          <w:u w:val="single"/>
          <w:lang w:val="fr-BE"/>
        </w:rPr>
        <w:t>loitation et du traitement des e</w:t>
      </w:r>
      <w:r w:rsidR="00A56B66">
        <w:rPr>
          <w:b/>
          <w:sz w:val="32"/>
          <w:szCs w:val="32"/>
          <w:u w:val="single"/>
          <w:lang w:val="fr-BE"/>
        </w:rPr>
        <w:t>aux</w:t>
      </w:r>
      <w:r w:rsidR="00B30CE0">
        <w:rPr>
          <w:b/>
          <w:sz w:val="32"/>
          <w:szCs w:val="32"/>
          <w:u w:val="single"/>
          <w:lang w:val="fr-BE"/>
        </w:rPr>
        <w:t>:</w:t>
      </w:r>
    </w:p>
    <w:p w:rsidR="005007C9" w:rsidRDefault="005007C9" w:rsidP="00FA379D">
      <w:pPr>
        <w:jc w:val="both"/>
        <w:rPr>
          <w:lang w:val="fr-BE"/>
        </w:rPr>
      </w:pPr>
      <w:r>
        <w:rPr>
          <w:lang w:val="fr-BE"/>
        </w:rPr>
        <w:t>Les investissements dans le secteur de l’Eau  font partie des</w:t>
      </w:r>
      <w:r w:rsidR="002F43AA">
        <w:rPr>
          <w:lang w:val="fr-BE"/>
        </w:rPr>
        <w:t xml:space="preserve"> trois secteurs principaux </w:t>
      </w:r>
      <w:r w:rsidR="004F6690">
        <w:rPr>
          <w:lang w:val="fr-BE"/>
        </w:rPr>
        <w:t xml:space="preserve"> </w:t>
      </w:r>
      <w:r w:rsidR="00B42156">
        <w:rPr>
          <w:lang w:val="fr-BE"/>
        </w:rPr>
        <w:t>identifié</w:t>
      </w:r>
      <w:r>
        <w:rPr>
          <w:lang w:val="fr-BE"/>
        </w:rPr>
        <w:t>s</w:t>
      </w:r>
      <w:r w:rsidR="00B42156">
        <w:rPr>
          <w:lang w:val="fr-BE"/>
        </w:rPr>
        <w:t xml:space="preserve"> dans le</w:t>
      </w:r>
      <w:r w:rsidR="002F43AA">
        <w:rPr>
          <w:lang w:val="fr-BE"/>
        </w:rPr>
        <w:t xml:space="preserve"> 6</w:t>
      </w:r>
      <w:r w:rsidR="002F43AA" w:rsidRPr="002F43AA">
        <w:rPr>
          <w:vertAlign w:val="superscript"/>
          <w:lang w:val="fr-BE"/>
        </w:rPr>
        <w:t>ème</w:t>
      </w:r>
      <w:r w:rsidR="002F43AA">
        <w:rPr>
          <w:lang w:val="fr-BE"/>
        </w:rPr>
        <w:t xml:space="preserve"> axe prioritaire du programme opérationnel de l’Union Européenne jusqu’</w:t>
      </w:r>
      <w:r w:rsidR="00B42156">
        <w:rPr>
          <w:lang w:val="fr-BE"/>
        </w:rPr>
        <w:t xml:space="preserve">en </w:t>
      </w:r>
      <w:r w:rsidR="002F43AA">
        <w:rPr>
          <w:lang w:val="fr-BE"/>
        </w:rPr>
        <w:t>2020</w:t>
      </w:r>
      <w:r>
        <w:rPr>
          <w:lang w:val="fr-BE"/>
        </w:rPr>
        <w:t>.</w:t>
      </w:r>
    </w:p>
    <w:p w:rsidR="00816579" w:rsidRDefault="002F43AA" w:rsidP="00FA379D">
      <w:pPr>
        <w:jc w:val="both"/>
        <w:rPr>
          <w:lang w:val="fr-BE"/>
        </w:rPr>
      </w:pPr>
      <w:r>
        <w:rPr>
          <w:lang w:val="fr-BE"/>
        </w:rPr>
        <w:t xml:space="preserve"> En ce qui concerne le volume d’i</w:t>
      </w:r>
      <w:r w:rsidR="004F6690">
        <w:rPr>
          <w:lang w:val="fr-BE"/>
        </w:rPr>
        <w:t>nvestissements prévu pour la Slovénie selon cet</w:t>
      </w:r>
      <w:r>
        <w:rPr>
          <w:lang w:val="fr-BE"/>
        </w:rPr>
        <w:t xml:space="preserve"> a</w:t>
      </w:r>
      <w:r w:rsidR="004F6690">
        <w:rPr>
          <w:lang w:val="fr-BE"/>
        </w:rPr>
        <w:t xml:space="preserve">xe prioritaire, </w:t>
      </w:r>
      <w:r>
        <w:rPr>
          <w:lang w:val="fr-BE"/>
        </w:rPr>
        <w:t>les  fonds européens du développement régional e</w:t>
      </w:r>
      <w:r w:rsidR="005007C9">
        <w:rPr>
          <w:lang w:val="fr-BE"/>
        </w:rPr>
        <w:t>t de</w:t>
      </w:r>
      <w:r>
        <w:rPr>
          <w:lang w:val="fr-BE"/>
        </w:rPr>
        <w:t xml:space="preserve"> cohésion </w:t>
      </w:r>
      <w:r w:rsidR="002A5EC0">
        <w:rPr>
          <w:lang w:val="fr-BE"/>
        </w:rPr>
        <w:t>ont prévu et approuvé</w:t>
      </w:r>
      <w:r w:rsidR="004F6690">
        <w:rPr>
          <w:lang w:val="fr-BE"/>
        </w:rPr>
        <w:t xml:space="preserve"> le</w:t>
      </w:r>
      <w:r>
        <w:rPr>
          <w:lang w:val="fr-BE"/>
        </w:rPr>
        <w:t xml:space="preserve"> montant total d’à peu près </w:t>
      </w:r>
      <w:r>
        <w:rPr>
          <w:b/>
          <w:lang w:val="fr-BE"/>
        </w:rPr>
        <w:t xml:space="preserve"> 400 millions d’Euro</w:t>
      </w:r>
      <w:r w:rsidR="004F6690">
        <w:rPr>
          <w:b/>
          <w:lang w:val="fr-BE"/>
        </w:rPr>
        <w:t xml:space="preserve"> </w:t>
      </w:r>
      <w:r w:rsidR="004F6690">
        <w:rPr>
          <w:lang w:val="fr-BE"/>
        </w:rPr>
        <w:t xml:space="preserve">pour la réalisation de </w:t>
      </w:r>
      <w:r w:rsidR="004F6690">
        <w:rPr>
          <w:b/>
          <w:lang w:val="fr-BE"/>
        </w:rPr>
        <w:t xml:space="preserve">11 projets </w:t>
      </w:r>
      <w:r w:rsidR="004F6690">
        <w:rPr>
          <w:lang w:val="fr-BE"/>
        </w:rPr>
        <w:t xml:space="preserve">dans les </w:t>
      </w:r>
      <w:r w:rsidR="00E1435B">
        <w:rPr>
          <w:lang w:val="fr-BE"/>
        </w:rPr>
        <w:t>deux domaines , à savoir celui de</w:t>
      </w:r>
      <w:r w:rsidR="004F6690">
        <w:rPr>
          <w:lang w:val="fr-BE"/>
        </w:rPr>
        <w:t xml:space="preserve"> </w:t>
      </w:r>
      <w:r w:rsidR="00E1435B">
        <w:rPr>
          <w:lang w:val="fr-BE"/>
        </w:rPr>
        <w:t xml:space="preserve">l’alimentation en eau potable </w:t>
      </w:r>
      <w:r w:rsidR="00B42156">
        <w:rPr>
          <w:lang w:val="fr-BE"/>
        </w:rPr>
        <w:t>et le</w:t>
      </w:r>
      <w:r w:rsidR="004F6690">
        <w:rPr>
          <w:lang w:val="fr-BE"/>
        </w:rPr>
        <w:t xml:space="preserve"> traitement des eaux résiduelles. Jusqu’à présent le Ministère slovène pour le Développement et la politique de cohésion a confirmé </w:t>
      </w:r>
      <w:r w:rsidR="004F6690">
        <w:rPr>
          <w:b/>
          <w:lang w:val="fr-BE"/>
        </w:rPr>
        <w:t xml:space="preserve">5 projets </w:t>
      </w:r>
      <w:r w:rsidR="00B42156">
        <w:rPr>
          <w:lang w:val="fr-BE"/>
        </w:rPr>
        <w:t xml:space="preserve"> </w:t>
      </w:r>
      <w:r w:rsidR="00E1435B">
        <w:rPr>
          <w:lang w:val="fr-BE"/>
        </w:rPr>
        <w:t>approuvés par la Commission de l’U.E</w:t>
      </w:r>
      <w:r w:rsidR="00B42156">
        <w:rPr>
          <w:lang w:val="fr-BE"/>
        </w:rPr>
        <w:t>.,</w:t>
      </w:r>
      <w:r w:rsidR="00816579">
        <w:rPr>
          <w:lang w:val="fr-BE"/>
        </w:rPr>
        <w:t xml:space="preserve"> dont le volume d’investissements total se chiffre à  </w:t>
      </w:r>
      <w:r w:rsidR="00816579">
        <w:rPr>
          <w:b/>
          <w:lang w:val="fr-BE"/>
        </w:rPr>
        <w:t xml:space="preserve">163 millions d’Euro. </w:t>
      </w:r>
      <w:r w:rsidR="00816579">
        <w:rPr>
          <w:lang w:val="fr-BE"/>
        </w:rPr>
        <w:t xml:space="preserve"> Il  s’agit des projets suivants :</w:t>
      </w:r>
    </w:p>
    <w:p w:rsidR="000A2E38" w:rsidRPr="000A2E38" w:rsidRDefault="00816579" w:rsidP="00FA379D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b/>
          <w:lang w:val="fr-BE"/>
        </w:rPr>
        <w:t xml:space="preserve">La séparation </w:t>
      </w:r>
      <w:r w:rsidR="000A2E38">
        <w:rPr>
          <w:b/>
          <w:lang w:val="fr-BE"/>
        </w:rPr>
        <w:t xml:space="preserve"> et  l’épuration des eaux résiduelles  dans la région urbaine Domzale – Kamnik ;</w:t>
      </w:r>
    </w:p>
    <w:p w:rsidR="000A2E38" w:rsidRDefault="000A2E38" w:rsidP="00FA379D">
      <w:pPr>
        <w:pStyle w:val="Paragraphedeliste"/>
        <w:jc w:val="both"/>
        <w:rPr>
          <w:i/>
          <w:lang w:val="fr-BE"/>
        </w:rPr>
      </w:pPr>
      <w:r>
        <w:rPr>
          <w:i/>
          <w:lang w:val="fr-BE"/>
        </w:rPr>
        <w:t xml:space="preserve">(volume </w:t>
      </w:r>
      <w:r w:rsidR="008E07CC">
        <w:rPr>
          <w:i/>
          <w:lang w:val="fr-BE"/>
        </w:rPr>
        <w:t xml:space="preserve"> </w:t>
      </w:r>
      <w:r>
        <w:rPr>
          <w:i/>
          <w:lang w:val="fr-BE"/>
        </w:rPr>
        <w:t>d’investissements total = 50 millions d’Euro dont 31 millions financ</w:t>
      </w:r>
      <w:r w:rsidR="00E1435B">
        <w:rPr>
          <w:i/>
          <w:lang w:val="fr-BE"/>
        </w:rPr>
        <w:t>és par l’U.E.)</w:t>
      </w:r>
    </w:p>
    <w:p w:rsidR="000A2E38" w:rsidRPr="000A2E38" w:rsidRDefault="000A2E38" w:rsidP="00FA379D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b/>
          <w:lang w:val="fr-BE"/>
        </w:rPr>
        <w:t>Renouvellement du système d’alimentation en eau potable pour la même région urbaine ;</w:t>
      </w:r>
    </w:p>
    <w:p w:rsidR="008E07CC" w:rsidRDefault="008E07CC" w:rsidP="00FA379D">
      <w:pPr>
        <w:pStyle w:val="Paragraphedeliste"/>
        <w:jc w:val="both"/>
        <w:rPr>
          <w:i/>
          <w:lang w:val="fr-BE"/>
        </w:rPr>
      </w:pPr>
      <w:r>
        <w:rPr>
          <w:i/>
          <w:lang w:val="fr-BE"/>
        </w:rPr>
        <w:t>(volume  d’investissements total = 11 millions d’Euro dont 7 millions financés par les fonds U.E.)</w:t>
      </w:r>
    </w:p>
    <w:p w:rsidR="008E07CC" w:rsidRPr="008E07CC" w:rsidRDefault="008E07CC" w:rsidP="00FA379D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b/>
          <w:lang w:val="fr-BE"/>
        </w:rPr>
        <w:t>L’élargissement du système d’alimentation en eau potable dans la région de Notranjska ;</w:t>
      </w:r>
    </w:p>
    <w:p w:rsidR="008E07CC" w:rsidRDefault="008E07CC" w:rsidP="00FA379D">
      <w:pPr>
        <w:pStyle w:val="Paragraphedeliste"/>
        <w:jc w:val="both"/>
        <w:rPr>
          <w:i/>
          <w:lang w:val="fr-BE"/>
        </w:rPr>
      </w:pPr>
      <w:r>
        <w:rPr>
          <w:i/>
          <w:lang w:val="fr-BE"/>
        </w:rPr>
        <w:t>(volume d’investissements total = 35 millions d’Euro dont 22 millions financés par les fonds U.E.)</w:t>
      </w:r>
    </w:p>
    <w:p w:rsidR="00B30B76" w:rsidRPr="00B30B76" w:rsidRDefault="008E07CC" w:rsidP="00FA379D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b/>
          <w:lang w:val="fr-BE"/>
        </w:rPr>
        <w:t xml:space="preserve">Construction des aqueducs pour alimenter en eau potable la région de Sodrazica – Ribnica – Kocevje </w:t>
      </w:r>
      <w:r>
        <w:rPr>
          <w:i/>
          <w:lang w:val="fr-BE"/>
        </w:rPr>
        <w:t>(volume d’</w:t>
      </w:r>
      <w:r w:rsidR="00B30B76">
        <w:rPr>
          <w:i/>
          <w:lang w:val="fr-BE"/>
        </w:rPr>
        <w:t xml:space="preserve">investissements total= 30 </w:t>
      </w:r>
      <w:r>
        <w:rPr>
          <w:i/>
          <w:lang w:val="fr-BE"/>
        </w:rPr>
        <w:t xml:space="preserve"> millions d’Euro dont 19 millions financés par l’U.E.)</w:t>
      </w:r>
    </w:p>
    <w:p w:rsidR="002F43AA" w:rsidRPr="00B42156" w:rsidRDefault="00B30B76" w:rsidP="00FA379D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b/>
          <w:lang w:val="fr-BE"/>
        </w:rPr>
        <w:t>Système d’alimentation en eau potable dans la région de Suha krajina ;</w:t>
      </w:r>
      <w:r w:rsidR="00B42156" w:rsidRPr="00B42156">
        <w:rPr>
          <w:lang w:val="fr-BE"/>
        </w:rPr>
        <w:t xml:space="preserve"> (</w:t>
      </w:r>
      <w:r w:rsidRPr="00B42156">
        <w:rPr>
          <w:i/>
          <w:lang w:val="fr-BE"/>
        </w:rPr>
        <w:t>volume d’investissements total = 37 millions d’Euro dont 21 millions financés par les fonds U.E)</w:t>
      </w:r>
      <w:r w:rsidR="000A2E38" w:rsidRPr="00B42156">
        <w:rPr>
          <w:b/>
          <w:lang w:val="fr-BE"/>
        </w:rPr>
        <w:t xml:space="preserve"> </w:t>
      </w:r>
      <w:r w:rsidR="002F43AA" w:rsidRPr="00B42156">
        <w:rPr>
          <w:lang w:val="fr-BE"/>
        </w:rPr>
        <w:t xml:space="preserve"> </w:t>
      </w:r>
    </w:p>
    <w:p w:rsidR="004872FC" w:rsidRDefault="004872FC" w:rsidP="00FA379D">
      <w:pPr>
        <w:jc w:val="both"/>
        <w:rPr>
          <w:b/>
          <w:sz w:val="32"/>
          <w:szCs w:val="32"/>
          <w:u w:val="single"/>
          <w:lang w:val="fr-BE"/>
        </w:rPr>
      </w:pPr>
    </w:p>
    <w:p w:rsidR="00E93ABA" w:rsidRDefault="00E93ABA" w:rsidP="00FA379D">
      <w:pPr>
        <w:jc w:val="both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lastRenderedPageBreak/>
        <w:t>Opportuni</w:t>
      </w:r>
      <w:r w:rsidR="00B30CE0">
        <w:rPr>
          <w:b/>
          <w:sz w:val="32"/>
          <w:szCs w:val="32"/>
          <w:u w:val="single"/>
          <w:lang w:val="fr-BE"/>
        </w:rPr>
        <w:t>tés pour les sociétés wallonnes :</w:t>
      </w:r>
    </w:p>
    <w:p w:rsidR="00B42156" w:rsidRDefault="00FD0279" w:rsidP="00FA379D">
      <w:pPr>
        <w:jc w:val="both"/>
        <w:rPr>
          <w:lang w:val="fr-BE"/>
        </w:rPr>
      </w:pPr>
      <w:r>
        <w:rPr>
          <w:lang w:val="fr-BE"/>
        </w:rPr>
        <w:t>Le</w:t>
      </w:r>
      <w:r w:rsidR="00B42156">
        <w:rPr>
          <w:lang w:val="fr-BE"/>
        </w:rPr>
        <w:t>s</w:t>
      </w:r>
      <w:r w:rsidR="00835201">
        <w:rPr>
          <w:lang w:val="fr-BE"/>
        </w:rPr>
        <w:t xml:space="preserve"> sous-</w:t>
      </w:r>
      <w:r>
        <w:rPr>
          <w:lang w:val="fr-BE"/>
        </w:rPr>
        <w:t xml:space="preserve"> secteur</w:t>
      </w:r>
      <w:r w:rsidR="00B42156">
        <w:rPr>
          <w:lang w:val="fr-BE"/>
        </w:rPr>
        <w:t>s</w:t>
      </w:r>
      <w:r>
        <w:rPr>
          <w:lang w:val="fr-BE"/>
        </w:rPr>
        <w:t xml:space="preserve"> des fournisseurs wallons</w:t>
      </w:r>
      <w:r w:rsidR="00B42156">
        <w:rPr>
          <w:lang w:val="fr-BE"/>
        </w:rPr>
        <w:t xml:space="preserve"> </w:t>
      </w:r>
      <w:r>
        <w:rPr>
          <w:lang w:val="fr-BE"/>
        </w:rPr>
        <w:t xml:space="preserve"> regroupe</w:t>
      </w:r>
      <w:r w:rsidR="00B42156">
        <w:rPr>
          <w:lang w:val="fr-BE"/>
        </w:rPr>
        <w:t xml:space="preserve">nt : </w:t>
      </w:r>
      <w:r>
        <w:rPr>
          <w:lang w:val="fr-BE"/>
        </w:rPr>
        <w:t xml:space="preserve"> </w:t>
      </w:r>
      <w:r w:rsidRPr="005007C9">
        <w:rPr>
          <w:lang w:val="fr-BE"/>
        </w:rPr>
        <w:t>les équipementiers ayant</w:t>
      </w:r>
      <w:r>
        <w:rPr>
          <w:lang w:val="fr-BE"/>
        </w:rPr>
        <w:t xml:space="preserve"> déjà  des relations contractuelles directes avec les grands</w:t>
      </w:r>
      <w:r w:rsidR="00EA7818">
        <w:rPr>
          <w:lang w:val="fr-BE"/>
        </w:rPr>
        <w:t xml:space="preserve"> constructeurs européens ,</w:t>
      </w:r>
      <w:r w:rsidR="00B42156">
        <w:rPr>
          <w:lang w:val="fr-BE"/>
        </w:rPr>
        <w:t xml:space="preserve">  les producteurs  de</w:t>
      </w:r>
      <w:r w:rsidR="00181AD7">
        <w:rPr>
          <w:lang w:val="fr-BE"/>
        </w:rPr>
        <w:t xml:space="preserve"> pompes, compresseurs et vannes </w:t>
      </w:r>
      <w:r>
        <w:rPr>
          <w:lang w:val="fr-BE"/>
        </w:rPr>
        <w:t>mécanique</w:t>
      </w:r>
      <w:r w:rsidR="00181AD7">
        <w:rPr>
          <w:lang w:val="fr-BE"/>
        </w:rPr>
        <w:t xml:space="preserve">s à haute pression, </w:t>
      </w:r>
      <w:r w:rsidR="002F7AC5">
        <w:rPr>
          <w:lang w:val="fr-BE"/>
        </w:rPr>
        <w:t xml:space="preserve"> filtres d’eau, </w:t>
      </w:r>
      <w:r w:rsidR="00181AD7">
        <w:rPr>
          <w:lang w:val="fr-BE"/>
        </w:rPr>
        <w:t>différents produits</w:t>
      </w:r>
      <w:r w:rsidR="002F7AC5">
        <w:rPr>
          <w:lang w:val="fr-BE"/>
        </w:rPr>
        <w:t xml:space="preserve"> de plasturgie /tuyauterie  </w:t>
      </w:r>
      <w:r w:rsidR="00B42156">
        <w:rPr>
          <w:lang w:val="fr-BE"/>
        </w:rPr>
        <w:t>ainsi que l</w:t>
      </w:r>
      <w:r w:rsidR="00181AD7">
        <w:rPr>
          <w:lang w:val="fr-BE"/>
        </w:rPr>
        <w:t xml:space="preserve">es produits </w:t>
      </w:r>
      <w:r w:rsidR="002F7AC5">
        <w:rPr>
          <w:lang w:val="fr-BE"/>
        </w:rPr>
        <w:t xml:space="preserve">anticalcaires pour l’eau potable et/ou </w:t>
      </w:r>
      <w:r w:rsidR="00181AD7">
        <w:rPr>
          <w:lang w:val="fr-BE"/>
        </w:rPr>
        <w:t xml:space="preserve">bio/chimique </w:t>
      </w:r>
      <w:r w:rsidR="00B42156">
        <w:rPr>
          <w:lang w:val="fr-BE"/>
        </w:rPr>
        <w:t xml:space="preserve">dégradables pour les eaux </w:t>
      </w:r>
      <w:r>
        <w:rPr>
          <w:lang w:val="fr-BE"/>
        </w:rPr>
        <w:t xml:space="preserve"> </w:t>
      </w:r>
      <w:r w:rsidR="002F7AC5">
        <w:rPr>
          <w:lang w:val="fr-BE"/>
        </w:rPr>
        <w:t>résiduelles</w:t>
      </w:r>
      <w:r w:rsidR="00EA7818">
        <w:rPr>
          <w:lang w:val="fr-BE"/>
        </w:rPr>
        <w:t>,</w:t>
      </w:r>
      <w:r w:rsidR="002F7AC5">
        <w:rPr>
          <w:lang w:val="fr-BE"/>
        </w:rPr>
        <w:t xml:space="preserve"> </w:t>
      </w:r>
      <w:r w:rsidR="00835201">
        <w:rPr>
          <w:lang w:val="fr-BE"/>
        </w:rPr>
        <w:t xml:space="preserve">puis </w:t>
      </w:r>
      <w:r w:rsidR="002F7AC5">
        <w:rPr>
          <w:lang w:val="fr-BE"/>
        </w:rPr>
        <w:t xml:space="preserve"> les sociétés</w:t>
      </w:r>
      <w:r w:rsidR="00EA7818">
        <w:rPr>
          <w:lang w:val="fr-BE"/>
        </w:rPr>
        <w:t xml:space="preserve"> d’ingénierie et  </w:t>
      </w:r>
      <w:r w:rsidR="00B42156">
        <w:rPr>
          <w:lang w:val="fr-BE"/>
        </w:rPr>
        <w:t xml:space="preserve">les réalisateurs de </w:t>
      </w:r>
      <w:r w:rsidR="002F7AC5">
        <w:rPr>
          <w:lang w:val="fr-BE"/>
        </w:rPr>
        <w:t>projets d</w:t>
      </w:r>
      <w:r w:rsidR="00B42156">
        <w:rPr>
          <w:lang w:val="fr-BE"/>
        </w:rPr>
        <w:t>’installation d’</w:t>
      </w:r>
      <w:r w:rsidR="002F7AC5">
        <w:rPr>
          <w:lang w:val="fr-BE"/>
        </w:rPr>
        <w:t xml:space="preserve">aqueducs </w:t>
      </w:r>
      <w:r w:rsidR="00B42156">
        <w:rPr>
          <w:lang w:val="fr-BE"/>
        </w:rPr>
        <w:t>pour  l’eau potable et de</w:t>
      </w:r>
      <w:r w:rsidR="002F7AC5">
        <w:rPr>
          <w:lang w:val="fr-BE"/>
        </w:rPr>
        <w:t xml:space="preserve"> matériel de séparation mécanique /biologique /chimique des eaux usées </w:t>
      </w:r>
      <w:r w:rsidR="009D614A">
        <w:rPr>
          <w:lang w:val="fr-BE"/>
        </w:rPr>
        <w:t>, les conc</w:t>
      </w:r>
      <w:r w:rsidR="00E1435B">
        <w:rPr>
          <w:lang w:val="fr-BE"/>
        </w:rPr>
        <w:t>epteurs</w:t>
      </w:r>
      <w:r w:rsidR="00F25219">
        <w:rPr>
          <w:lang w:val="fr-BE"/>
        </w:rPr>
        <w:t xml:space="preserve"> des différents </w:t>
      </w:r>
      <w:r w:rsidR="00835201">
        <w:rPr>
          <w:lang w:val="fr-BE"/>
        </w:rPr>
        <w:t>outillage</w:t>
      </w:r>
      <w:r w:rsidR="00F25219">
        <w:rPr>
          <w:lang w:val="fr-BE"/>
        </w:rPr>
        <w:t>s pour l’utilisation</w:t>
      </w:r>
      <w:r w:rsidR="00B42156">
        <w:rPr>
          <w:lang w:val="fr-BE"/>
        </w:rPr>
        <w:t xml:space="preserve"> spéciale dans le secteur de l’e</w:t>
      </w:r>
      <w:r w:rsidR="00F25219">
        <w:rPr>
          <w:lang w:val="fr-BE"/>
        </w:rPr>
        <w:t>au</w:t>
      </w:r>
      <w:r w:rsidR="00E1435B">
        <w:rPr>
          <w:lang w:val="fr-BE"/>
        </w:rPr>
        <w:t xml:space="preserve">, etc. </w:t>
      </w:r>
    </w:p>
    <w:p w:rsidR="00E1435B" w:rsidRDefault="00E1435B" w:rsidP="00FA379D">
      <w:pPr>
        <w:jc w:val="both"/>
        <w:rPr>
          <w:lang w:val="fr-BE"/>
        </w:rPr>
      </w:pPr>
      <w:r>
        <w:rPr>
          <w:lang w:val="fr-BE"/>
        </w:rPr>
        <w:t>B</w:t>
      </w:r>
      <w:r w:rsidR="00835201">
        <w:rPr>
          <w:lang w:val="fr-BE"/>
        </w:rPr>
        <w:t>ref, tous</w:t>
      </w:r>
      <w:r w:rsidR="00F25219">
        <w:rPr>
          <w:lang w:val="fr-BE"/>
        </w:rPr>
        <w:t xml:space="preserve"> ces profils d’activité pourraient</w:t>
      </w:r>
      <w:r w:rsidR="00EA7818">
        <w:rPr>
          <w:lang w:val="fr-BE"/>
        </w:rPr>
        <w:t xml:space="preserve"> trouver plusieurs opportunités d’affaires </w:t>
      </w:r>
      <w:r w:rsidR="00EA7818" w:rsidRPr="00433B57">
        <w:rPr>
          <w:u w:val="single"/>
          <w:lang w:val="fr-BE"/>
        </w:rPr>
        <w:t>en recherchant</w:t>
      </w:r>
      <w:r w:rsidR="00EA7818">
        <w:rPr>
          <w:lang w:val="fr-BE"/>
        </w:rPr>
        <w:t xml:space="preserve"> d’une manière plus active </w:t>
      </w:r>
      <w:r w:rsidR="00EA7818" w:rsidRPr="00433B57">
        <w:rPr>
          <w:u w:val="single"/>
          <w:lang w:val="fr-BE"/>
        </w:rPr>
        <w:t>les modalités d’une c</w:t>
      </w:r>
      <w:r w:rsidR="00B42156">
        <w:rPr>
          <w:u w:val="single"/>
          <w:lang w:val="fr-BE"/>
        </w:rPr>
        <w:t>oopération industrielle à long</w:t>
      </w:r>
      <w:r w:rsidR="00EA7818" w:rsidRPr="00433B57">
        <w:rPr>
          <w:u w:val="single"/>
          <w:lang w:val="fr-BE"/>
        </w:rPr>
        <w:t xml:space="preserve"> terme</w:t>
      </w:r>
      <w:r w:rsidR="00EA7818">
        <w:rPr>
          <w:lang w:val="fr-BE"/>
        </w:rPr>
        <w:t xml:space="preserve"> </w:t>
      </w:r>
      <w:r w:rsidR="00C03595">
        <w:rPr>
          <w:lang w:val="fr-BE"/>
        </w:rPr>
        <w:t xml:space="preserve"> ou </w:t>
      </w:r>
      <w:r w:rsidR="00C03595" w:rsidRPr="00F25219">
        <w:rPr>
          <w:u w:val="single"/>
          <w:lang w:val="fr-BE"/>
        </w:rPr>
        <w:t>d’</w:t>
      </w:r>
      <w:r w:rsidR="00C03595" w:rsidRPr="00F25219">
        <w:rPr>
          <w:u w:val="single"/>
          <w:lang w:val="fr-FR"/>
        </w:rPr>
        <w:t>un partenariat éventuel</w:t>
      </w:r>
      <w:r w:rsidR="00C03595">
        <w:rPr>
          <w:lang w:val="fr-FR"/>
        </w:rPr>
        <w:t xml:space="preserve"> </w:t>
      </w:r>
      <w:r w:rsidR="00F25219">
        <w:rPr>
          <w:lang w:val="fr-FR"/>
        </w:rPr>
        <w:t xml:space="preserve"> </w:t>
      </w:r>
      <w:r w:rsidR="00EA7818">
        <w:rPr>
          <w:lang w:val="fr-BE"/>
        </w:rPr>
        <w:t xml:space="preserve">avec les opérateurs </w:t>
      </w:r>
      <w:r>
        <w:rPr>
          <w:lang w:val="fr-BE"/>
        </w:rPr>
        <w:t xml:space="preserve"> </w:t>
      </w:r>
      <w:r w:rsidR="00EA7818">
        <w:rPr>
          <w:lang w:val="fr-BE"/>
        </w:rPr>
        <w:t xml:space="preserve">slovènes </w:t>
      </w:r>
      <w:r w:rsidR="00FD0279">
        <w:rPr>
          <w:lang w:val="fr-BE"/>
        </w:rPr>
        <w:t xml:space="preserve"> </w:t>
      </w:r>
      <w:r w:rsidR="00F25219">
        <w:rPr>
          <w:lang w:val="fr-BE"/>
        </w:rPr>
        <w:t>dans le domaine de la réalisation des projets y afférents ou tout simplement dans la distribution de tout genre de l’équipement concerné</w:t>
      </w:r>
      <w:r w:rsidR="00514761">
        <w:rPr>
          <w:lang w:val="fr-BE"/>
        </w:rPr>
        <w:t xml:space="preserve">. </w:t>
      </w:r>
      <w:r w:rsidR="00EA7818">
        <w:rPr>
          <w:lang w:val="fr-BE"/>
        </w:rPr>
        <w:t>Les</w:t>
      </w:r>
      <w:r w:rsidR="00514761">
        <w:rPr>
          <w:lang w:val="fr-BE"/>
        </w:rPr>
        <w:t xml:space="preserve"> expériences positives de certains producteurs et fournisseurs wallons qui sont déjà présen</w:t>
      </w:r>
      <w:r w:rsidR="005B2BD6">
        <w:rPr>
          <w:lang w:val="fr-BE"/>
        </w:rPr>
        <w:t>ts sur le marché slovène (</w:t>
      </w:r>
      <w:r w:rsidR="00514761">
        <w:rPr>
          <w:lang w:val="fr-BE"/>
        </w:rPr>
        <w:t xml:space="preserve"> ELOY WATER, AIRWATEC, TOYO PUMPS </w:t>
      </w:r>
      <w:r w:rsidR="005007C9">
        <w:rPr>
          <w:lang w:val="fr-BE"/>
        </w:rPr>
        <w:t>,…</w:t>
      </w:r>
      <w:r w:rsidR="00514761">
        <w:rPr>
          <w:lang w:val="fr-BE"/>
        </w:rPr>
        <w:t xml:space="preserve">)  peuvent bien servir d’exemple pour </w:t>
      </w:r>
      <w:r w:rsidR="005B2BD6">
        <w:rPr>
          <w:lang w:val="fr-BE"/>
        </w:rPr>
        <w:t>les</w:t>
      </w:r>
      <w:r w:rsidR="00514761">
        <w:rPr>
          <w:lang w:val="fr-BE"/>
        </w:rPr>
        <w:t xml:space="preserve"> opérateurs locaux dans ce secteur d’activit</w:t>
      </w:r>
      <w:r w:rsidR="005B2BD6">
        <w:rPr>
          <w:lang w:val="fr-BE"/>
        </w:rPr>
        <w:t>é qui seraient prêts à tenter leur</w:t>
      </w:r>
      <w:r w:rsidR="00514761">
        <w:rPr>
          <w:lang w:val="fr-BE"/>
        </w:rPr>
        <w:t xml:space="preserve"> chance sur ce marché</w:t>
      </w:r>
      <w:r w:rsidR="005B2BD6">
        <w:rPr>
          <w:lang w:val="fr-BE"/>
        </w:rPr>
        <w:t xml:space="preserve">. </w:t>
      </w:r>
      <w:r w:rsidR="00FB367B">
        <w:rPr>
          <w:lang w:val="fr-BE"/>
        </w:rPr>
        <w:t xml:space="preserve"> </w:t>
      </w:r>
      <w:r w:rsidR="005B2BD6">
        <w:rPr>
          <w:lang w:val="fr-BE"/>
        </w:rPr>
        <w:t xml:space="preserve">Certes, le marché </w:t>
      </w:r>
      <w:r w:rsidR="00FB367B">
        <w:rPr>
          <w:lang w:val="fr-BE"/>
        </w:rPr>
        <w:t xml:space="preserve"> est relativement </w:t>
      </w:r>
      <w:r w:rsidR="00CC4251">
        <w:rPr>
          <w:lang w:val="fr-BE"/>
        </w:rPr>
        <w:t>petit,</w:t>
      </w:r>
      <w:r w:rsidR="005B2BD6">
        <w:rPr>
          <w:lang w:val="fr-BE"/>
        </w:rPr>
        <w:t xml:space="preserve"> </w:t>
      </w:r>
      <w:r w:rsidR="00FB367B">
        <w:rPr>
          <w:lang w:val="fr-BE"/>
        </w:rPr>
        <w:t xml:space="preserve">mais porteur aussi bien sur le plan domestique </w:t>
      </w:r>
      <w:r w:rsidR="005B2BD6">
        <w:rPr>
          <w:lang w:val="fr-BE"/>
        </w:rPr>
        <w:t>que dans la région du</w:t>
      </w:r>
      <w:r w:rsidR="00FB367B">
        <w:rPr>
          <w:lang w:val="fr-BE"/>
        </w:rPr>
        <w:t xml:space="preserve"> voisinage</w:t>
      </w:r>
      <w:r w:rsidR="005B2BD6">
        <w:rPr>
          <w:lang w:val="fr-BE"/>
        </w:rPr>
        <w:t>,</w:t>
      </w:r>
      <w:r w:rsidR="00FB367B">
        <w:rPr>
          <w:lang w:val="fr-BE"/>
        </w:rPr>
        <w:t xml:space="preserve"> où il pourrait jouer le rôle d’un tremplin vers les pays de l’ex-Yougoslavie</w:t>
      </w:r>
      <w:r w:rsidR="00EC6EC0">
        <w:rPr>
          <w:lang w:val="fr-BE"/>
        </w:rPr>
        <w:t xml:space="preserve">. </w:t>
      </w:r>
    </w:p>
    <w:p w:rsidR="005007C9" w:rsidRDefault="005007C9" w:rsidP="00FA379D">
      <w:pPr>
        <w:jc w:val="both"/>
        <w:rPr>
          <w:lang w:val="fr-BE"/>
        </w:rPr>
      </w:pPr>
      <w:r>
        <w:rPr>
          <w:lang w:val="fr-BE"/>
        </w:rPr>
        <w:t xml:space="preserve">Les entreprises wallonnes doivent toutefois tenir compte du fait que le  </w:t>
      </w:r>
      <w:r w:rsidRPr="005007C9">
        <w:rPr>
          <w:lang w:val="fr-BE"/>
        </w:rPr>
        <w:t>marché dépend quasi entièrement des appels d’offre  publics  généralement lancés par les communes locales ou via les sociétés intercommunales.</w:t>
      </w:r>
    </w:p>
    <w:p w:rsidR="00BB40BB" w:rsidRDefault="00BB40BB" w:rsidP="00FA379D">
      <w:pPr>
        <w:jc w:val="both"/>
        <w:rPr>
          <w:lang w:val="fr-BE"/>
        </w:rPr>
      </w:pPr>
    </w:p>
    <w:p w:rsidR="000E38BE" w:rsidRPr="00BA454C" w:rsidRDefault="00EC6EC0" w:rsidP="00FA379D">
      <w:pPr>
        <w:jc w:val="both"/>
        <w:rPr>
          <w:lang w:val="fr-BE"/>
        </w:rPr>
      </w:pPr>
      <w:r>
        <w:rPr>
          <w:lang w:val="fr-BE"/>
        </w:rPr>
        <w:t xml:space="preserve"> </w:t>
      </w:r>
      <w:r w:rsidR="000E38BE" w:rsidRPr="000E38BE">
        <w:rPr>
          <w:sz w:val="24"/>
          <w:szCs w:val="24"/>
          <w:lang w:val="fr-BE"/>
        </w:rPr>
        <w:t xml:space="preserve">Auteur : </w:t>
      </w:r>
      <w:r w:rsidR="00BB40BB">
        <w:rPr>
          <w:b/>
          <w:sz w:val="24"/>
          <w:szCs w:val="24"/>
          <w:lang w:val="fr-BE"/>
        </w:rPr>
        <w:t>Bureau de l’AWEX</w:t>
      </w:r>
      <w:r w:rsidR="000E38BE" w:rsidRPr="00BA454C">
        <w:rPr>
          <w:b/>
          <w:sz w:val="24"/>
          <w:szCs w:val="24"/>
          <w:lang w:val="fr-BE"/>
        </w:rPr>
        <w:t xml:space="preserve"> </w:t>
      </w:r>
      <w:r w:rsidR="00B67867">
        <w:rPr>
          <w:b/>
          <w:sz w:val="24"/>
          <w:szCs w:val="24"/>
          <w:lang w:val="fr-BE"/>
        </w:rPr>
        <w:t xml:space="preserve">à </w:t>
      </w:r>
      <w:r w:rsidR="00BA454C" w:rsidRPr="00BA454C">
        <w:rPr>
          <w:b/>
          <w:sz w:val="24"/>
          <w:szCs w:val="24"/>
          <w:lang w:val="fr-BE"/>
        </w:rPr>
        <w:t>Ljubljana</w:t>
      </w:r>
      <w:r w:rsidR="00BA454C">
        <w:rPr>
          <w:sz w:val="24"/>
          <w:szCs w:val="24"/>
          <w:lang w:val="fr-BE"/>
        </w:rPr>
        <w:t xml:space="preserve"> </w:t>
      </w:r>
    </w:p>
    <w:p w:rsidR="00BB40BB" w:rsidRDefault="00BB40BB" w:rsidP="00FA379D">
      <w:pPr>
        <w:jc w:val="both"/>
        <w:rPr>
          <w:b/>
          <w:sz w:val="24"/>
          <w:szCs w:val="24"/>
          <w:lang w:val="fr-BE"/>
        </w:rPr>
      </w:pPr>
    </w:p>
    <w:p w:rsidR="000E38BE" w:rsidRPr="000E38BE" w:rsidRDefault="00BA454C" w:rsidP="00FA379D">
      <w:pPr>
        <w:jc w:val="both"/>
        <w:rPr>
          <w:sz w:val="24"/>
          <w:szCs w:val="24"/>
          <w:lang w:val="fr-BE"/>
        </w:rPr>
      </w:pPr>
      <w:r w:rsidRPr="00C03595">
        <w:rPr>
          <w:b/>
          <w:sz w:val="24"/>
          <w:szCs w:val="24"/>
          <w:lang w:val="fr-BE"/>
        </w:rPr>
        <w:t>Date</w:t>
      </w:r>
      <w:r w:rsidR="00BB40BB">
        <w:rPr>
          <w:sz w:val="24"/>
          <w:szCs w:val="24"/>
          <w:lang w:val="fr-BE"/>
        </w:rPr>
        <w:t> : 24/</w:t>
      </w:r>
      <w:r w:rsidR="004872FC">
        <w:rPr>
          <w:sz w:val="24"/>
          <w:szCs w:val="24"/>
          <w:lang w:val="fr-BE"/>
        </w:rPr>
        <w:t>09</w:t>
      </w:r>
      <w:r w:rsidR="00BB40BB">
        <w:rPr>
          <w:sz w:val="24"/>
          <w:szCs w:val="24"/>
          <w:lang w:val="fr-BE"/>
        </w:rPr>
        <w:t>/</w:t>
      </w:r>
      <w:r w:rsidR="000B14AE">
        <w:rPr>
          <w:sz w:val="24"/>
          <w:szCs w:val="24"/>
          <w:lang w:val="fr-BE"/>
        </w:rPr>
        <w:t>2015</w:t>
      </w:r>
    </w:p>
    <w:sectPr w:rsidR="000E38BE" w:rsidRPr="000E38BE" w:rsidSect="00150710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31" w:rsidRDefault="00FD0731" w:rsidP="00D91063">
      <w:pPr>
        <w:spacing w:after="0" w:line="240" w:lineRule="auto"/>
      </w:pPr>
      <w:r>
        <w:separator/>
      </w:r>
    </w:p>
  </w:endnote>
  <w:endnote w:type="continuationSeparator" w:id="0">
    <w:p w:rsidR="00FD0731" w:rsidRDefault="00FD0731" w:rsidP="00D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31" w:rsidRDefault="00FD0731" w:rsidP="00D91063">
      <w:pPr>
        <w:spacing w:after="0" w:line="240" w:lineRule="auto"/>
      </w:pPr>
      <w:r>
        <w:separator/>
      </w:r>
    </w:p>
  </w:footnote>
  <w:footnote w:type="continuationSeparator" w:id="0">
    <w:p w:rsidR="00FD0731" w:rsidRDefault="00FD0731" w:rsidP="00D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63" w:rsidRDefault="006521D7" w:rsidP="00483273">
    <w:pPr>
      <w:pStyle w:val="En-tte"/>
      <w:shd w:val="clear" w:color="auto" w:fill="FFFFFF" w:themeFill="background1"/>
      <w:jc w:val="center"/>
    </w:pPr>
    <w:r>
      <w:rPr>
        <w:rFonts w:ascii="Verdana" w:eastAsiaTheme="majorEastAsia" w:hAnsi="Verdana" w:cs="Tahoma"/>
        <w:noProof/>
        <w:spacing w:val="5"/>
        <w:kern w:val="28"/>
        <w:sz w:val="52"/>
        <w:szCs w:val="52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-278130</wp:posOffset>
              </wp:positionV>
              <wp:extent cx="7877175" cy="1000125"/>
              <wp:effectExtent l="57150" t="38100" r="85725" b="1047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7175" cy="10001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3273" w:rsidRDefault="00483273" w:rsidP="00483273">
                          <w:r>
                            <w:rPr>
                              <w:rStyle w:val="TitreCar"/>
                              <w:rFonts w:ascii="Verdana" w:hAnsi="Verdana" w:cs="Tahoma"/>
                              <w:color w:val="auto"/>
                            </w:rPr>
                            <w:t>Fiche</w:t>
                          </w:r>
                          <w:r w:rsidRPr="00483273">
                            <w:rPr>
                              <w:rStyle w:val="TitreCar"/>
                              <w:rFonts w:ascii="Verdana" w:hAnsi="Verdana" w:cs="Tahoma"/>
                              <w:color w:val="auto"/>
                              <w:lang w:val="fr-WINDIES"/>
                            </w:rPr>
                            <w:t xml:space="preserve"> Sectorielle</w:t>
                          </w:r>
                          <w:r w:rsidRPr="00D91063"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D91063">
                            <w:t xml:space="preserve"> </w:t>
                          </w: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904875" cy="781050"/>
                                <wp:effectExtent l="0" t="0" r="9525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wallonia.b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875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73.1pt;margin-top:-21.9pt;width:62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path arrowok="t"/>
              <v:textbox>
                <w:txbxContent>
                  <w:p w:rsidR="00483273" w:rsidRDefault="00483273" w:rsidP="00483273">
                    <w:r>
                      <w:rPr>
                        <w:rStyle w:val="TitreCar"/>
                        <w:rFonts w:ascii="Verdana" w:hAnsi="Verdana" w:cs="Tahoma"/>
                        <w:color w:val="auto"/>
                      </w:rPr>
                      <w:t>Fiche</w:t>
                    </w:r>
                    <w:r w:rsidRPr="00483273">
                      <w:rPr>
                        <w:rStyle w:val="TitreCar"/>
                        <w:rFonts w:ascii="Verdana" w:hAnsi="Verdana" w:cs="Tahoma"/>
                        <w:color w:val="auto"/>
                        <w:lang w:val="fr-WINDIES"/>
                      </w:rPr>
                      <w:t xml:space="preserve"> Sectorielle</w:t>
                    </w:r>
                    <w:r w:rsidRPr="00D91063"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D91063">
                      <w:t xml:space="preserve"> </w:t>
                    </w:r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>
                          <wp:extent cx="904875" cy="781050"/>
                          <wp:effectExtent l="0" t="0" r="9525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wallonia.b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875" cy="781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83273">
      <w:rPr>
        <w:noProof/>
        <w:lang w:val="fr-FR" w:eastAsia="fr-FR"/>
      </w:rPr>
      <w:drawing>
        <wp:inline distT="0" distB="0" distL="0" distR="0">
          <wp:extent cx="904875" cy="7810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allonia.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063" w:rsidRDefault="00D910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0D"/>
    <w:multiLevelType w:val="hybridMultilevel"/>
    <w:tmpl w:val="5DE0B6F4"/>
    <w:lvl w:ilvl="0" w:tplc="C58C4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3"/>
    <w:rsid w:val="000018CA"/>
    <w:rsid w:val="00036ACB"/>
    <w:rsid w:val="00042979"/>
    <w:rsid w:val="00063B0C"/>
    <w:rsid w:val="000818CA"/>
    <w:rsid w:val="00082188"/>
    <w:rsid w:val="000A2E38"/>
    <w:rsid w:val="000B14AE"/>
    <w:rsid w:val="000E38BE"/>
    <w:rsid w:val="0010052C"/>
    <w:rsid w:val="00101D3A"/>
    <w:rsid w:val="0010757E"/>
    <w:rsid w:val="001076BF"/>
    <w:rsid w:val="0012525D"/>
    <w:rsid w:val="001469CF"/>
    <w:rsid w:val="00150710"/>
    <w:rsid w:val="00181AD7"/>
    <w:rsid w:val="001913B6"/>
    <w:rsid w:val="001B69DB"/>
    <w:rsid w:val="001D5536"/>
    <w:rsid w:val="001E1D5F"/>
    <w:rsid w:val="00232982"/>
    <w:rsid w:val="00235D5B"/>
    <w:rsid w:val="00272D06"/>
    <w:rsid w:val="00285966"/>
    <w:rsid w:val="002A5EC0"/>
    <w:rsid w:val="002B2444"/>
    <w:rsid w:val="002D7D78"/>
    <w:rsid w:val="002E4B09"/>
    <w:rsid w:val="002F43AA"/>
    <w:rsid w:val="002F7AC5"/>
    <w:rsid w:val="003010F3"/>
    <w:rsid w:val="003147D7"/>
    <w:rsid w:val="003866A2"/>
    <w:rsid w:val="00433B57"/>
    <w:rsid w:val="00462130"/>
    <w:rsid w:val="00463BF6"/>
    <w:rsid w:val="00470D86"/>
    <w:rsid w:val="00483273"/>
    <w:rsid w:val="00483A85"/>
    <w:rsid w:val="004872FC"/>
    <w:rsid w:val="004D04BD"/>
    <w:rsid w:val="004F1380"/>
    <w:rsid w:val="004F6690"/>
    <w:rsid w:val="005007C9"/>
    <w:rsid w:val="00514761"/>
    <w:rsid w:val="005150AD"/>
    <w:rsid w:val="00555A89"/>
    <w:rsid w:val="00555AED"/>
    <w:rsid w:val="00587DB3"/>
    <w:rsid w:val="005B2BD6"/>
    <w:rsid w:val="005B651F"/>
    <w:rsid w:val="005C453C"/>
    <w:rsid w:val="00617629"/>
    <w:rsid w:val="006521D7"/>
    <w:rsid w:val="00664292"/>
    <w:rsid w:val="0069381A"/>
    <w:rsid w:val="006A178D"/>
    <w:rsid w:val="006A3779"/>
    <w:rsid w:val="006B3CA5"/>
    <w:rsid w:val="006C3613"/>
    <w:rsid w:val="006E6545"/>
    <w:rsid w:val="007656CD"/>
    <w:rsid w:val="007A440E"/>
    <w:rsid w:val="007B6AAB"/>
    <w:rsid w:val="007D1507"/>
    <w:rsid w:val="007E0339"/>
    <w:rsid w:val="008158BB"/>
    <w:rsid w:val="00816579"/>
    <w:rsid w:val="00835201"/>
    <w:rsid w:val="00850733"/>
    <w:rsid w:val="00856955"/>
    <w:rsid w:val="0088727B"/>
    <w:rsid w:val="008940F6"/>
    <w:rsid w:val="008B2266"/>
    <w:rsid w:val="008E07CC"/>
    <w:rsid w:val="008F07F5"/>
    <w:rsid w:val="008F2DA7"/>
    <w:rsid w:val="00974465"/>
    <w:rsid w:val="00983469"/>
    <w:rsid w:val="009D13FC"/>
    <w:rsid w:val="009D614A"/>
    <w:rsid w:val="009E4955"/>
    <w:rsid w:val="009E6E53"/>
    <w:rsid w:val="00A03119"/>
    <w:rsid w:val="00A1319B"/>
    <w:rsid w:val="00A3184C"/>
    <w:rsid w:val="00A56B66"/>
    <w:rsid w:val="00A6416A"/>
    <w:rsid w:val="00A72CC3"/>
    <w:rsid w:val="00A76AE2"/>
    <w:rsid w:val="00AB768F"/>
    <w:rsid w:val="00B07030"/>
    <w:rsid w:val="00B2073C"/>
    <w:rsid w:val="00B30B76"/>
    <w:rsid w:val="00B30CE0"/>
    <w:rsid w:val="00B34B32"/>
    <w:rsid w:val="00B42156"/>
    <w:rsid w:val="00B45286"/>
    <w:rsid w:val="00B5158C"/>
    <w:rsid w:val="00B67867"/>
    <w:rsid w:val="00BA454C"/>
    <w:rsid w:val="00BB40BB"/>
    <w:rsid w:val="00BC0B8C"/>
    <w:rsid w:val="00BD0C92"/>
    <w:rsid w:val="00C00535"/>
    <w:rsid w:val="00C03595"/>
    <w:rsid w:val="00C3795B"/>
    <w:rsid w:val="00C95569"/>
    <w:rsid w:val="00CA3528"/>
    <w:rsid w:val="00CC4251"/>
    <w:rsid w:val="00CC759A"/>
    <w:rsid w:val="00CD0A82"/>
    <w:rsid w:val="00D029F7"/>
    <w:rsid w:val="00D0591C"/>
    <w:rsid w:val="00D662FB"/>
    <w:rsid w:val="00D83FB4"/>
    <w:rsid w:val="00D91063"/>
    <w:rsid w:val="00DA173D"/>
    <w:rsid w:val="00DC58EE"/>
    <w:rsid w:val="00DC68C0"/>
    <w:rsid w:val="00E1435B"/>
    <w:rsid w:val="00E16D94"/>
    <w:rsid w:val="00E322E8"/>
    <w:rsid w:val="00E40CD3"/>
    <w:rsid w:val="00E6712E"/>
    <w:rsid w:val="00E93ABA"/>
    <w:rsid w:val="00EA7818"/>
    <w:rsid w:val="00EA7AE4"/>
    <w:rsid w:val="00EC0555"/>
    <w:rsid w:val="00EC6EC0"/>
    <w:rsid w:val="00ED3EAD"/>
    <w:rsid w:val="00EF11D3"/>
    <w:rsid w:val="00EF7D93"/>
    <w:rsid w:val="00F20B22"/>
    <w:rsid w:val="00F25219"/>
    <w:rsid w:val="00F473E6"/>
    <w:rsid w:val="00F5723D"/>
    <w:rsid w:val="00F61BC6"/>
    <w:rsid w:val="00FA379D"/>
    <w:rsid w:val="00FB1BA2"/>
    <w:rsid w:val="00FB367B"/>
    <w:rsid w:val="00FC3D85"/>
    <w:rsid w:val="00FD0279"/>
    <w:rsid w:val="00FD073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063"/>
  </w:style>
  <w:style w:type="paragraph" w:styleId="Pieddepage">
    <w:name w:val="footer"/>
    <w:basedOn w:val="Normal"/>
    <w:link w:val="PieddepageCar"/>
    <w:uiPriority w:val="99"/>
    <w:unhideWhenUsed/>
    <w:rsid w:val="00D91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063"/>
  </w:style>
  <w:style w:type="paragraph" w:styleId="Textedebulles">
    <w:name w:val="Balloon Text"/>
    <w:basedOn w:val="Normal"/>
    <w:link w:val="TextedebullesCar"/>
    <w:uiPriority w:val="99"/>
    <w:semiHidden/>
    <w:unhideWhenUsed/>
    <w:rsid w:val="00D9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06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91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1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C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01D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0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063"/>
  </w:style>
  <w:style w:type="paragraph" w:styleId="Pieddepage">
    <w:name w:val="footer"/>
    <w:basedOn w:val="Normal"/>
    <w:link w:val="PieddepageCar"/>
    <w:uiPriority w:val="99"/>
    <w:unhideWhenUsed/>
    <w:rsid w:val="00D91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063"/>
  </w:style>
  <w:style w:type="paragraph" w:styleId="Textedebulles">
    <w:name w:val="Balloon Text"/>
    <w:basedOn w:val="Normal"/>
    <w:link w:val="TextedebullesCar"/>
    <w:uiPriority w:val="99"/>
    <w:semiHidden/>
    <w:unhideWhenUsed/>
    <w:rsid w:val="00D9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06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91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1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C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01D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E48A855F4D43B207D955F9A2DBDE" ma:contentTypeVersion="1" ma:contentTypeDescription="Create a new document." ma:contentTypeScope="" ma:versionID="fae540caba44113ec4cb00b6fb1b53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0870da03cc5216945bbd8993e7a4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3191-8AD1-48FF-AEB4-95A1A89EB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D8117-BD18-421A-BA88-5706A048B5D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117D4E-BE49-4B05-9C9E-EBAC6B4D2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E1685-A882-4E2D-A37C-1CCCEF9A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LUVETE Stéphanie</dc:creator>
  <cp:lastModifiedBy>BARBIER Muriel</cp:lastModifiedBy>
  <cp:revision>2</cp:revision>
  <dcterms:created xsi:type="dcterms:W3CDTF">2016-10-28T12:28:00Z</dcterms:created>
  <dcterms:modified xsi:type="dcterms:W3CDTF">2016-10-28T12:28:00Z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0x010100AA0CE48A855F4D43B207D955F9A2DBDE</vt:lpwstr>
  </property>
</Properties>
</file>