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0D" w:rsidRDefault="004E0B0D" w:rsidP="004E0B0D">
      <w:pPr>
        <w:jc w:val="center"/>
        <w:rPr>
          <w:b/>
          <w:sz w:val="40"/>
          <w:lang w:val="en-US"/>
        </w:rPr>
      </w:pPr>
      <w:bookmarkStart w:id="0" w:name="_GoBack"/>
      <w:bookmarkEnd w:id="0"/>
      <w:r w:rsidRPr="006269B3">
        <w:rPr>
          <w:b/>
          <w:sz w:val="40"/>
          <w:lang w:val="en-US"/>
        </w:rPr>
        <w:t>Alternative energy in Ukraine: market overview</w:t>
      </w:r>
    </w:p>
    <w:p w:rsidR="009920F2" w:rsidRPr="009920F2" w:rsidRDefault="009920F2" w:rsidP="009920F2">
      <w:pPr>
        <w:jc w:val="both"/>
        <w:rPr>
          <w:lang w:val="en-GB"/>
        </w:rPr>
      </w:pPr>
      <w:r w:rsidRPr="009920F2">
        <w:rPr>
          <w:lang w:val="en-GB"/>
        </w:rPr>
        <w:t>Ukraine has an area of 603,628 km2 (233,062 sq mi), making it the largest </w:t>
      </w:r>
      <w:hyperlink r:id="rId12" w:tooltip="Country" w:history="1">
        <w:r w:rsidRPr="009920F2">
          <w:rPr>
            <w:lang w:val="en-GB"/>
          </w:rPr>
          <w:t>country</w:t>
        </w:r>
      </w:hyperlink>
      <w:r w:rsidRPr="009920F2">
        <w:rPr>
          <w:lang w:val="en-GB"/>
        </w:rPr>
        <w:t> entirely within </w:t>
      </w:r>
      <w:hyperlink r:id="rId13" w:tooltip="Europe" w:history="1">
        <w:r w:rsidRPr="009920F2">
          <w:rPr>
            <w:lang w:val="en-GB"/>
          </w:rPr>
          <w:t>Europe</w:t>
        </w:r>
      </w:hyperlink>
      <w:r w:rsidRPr="009920F2">
        <w:rPr>
          <w:lang w:val="en-GB"/>
        </w:rPr>
        <w:t>. Ukraine </w:t>
      </w:r>
      <w:hyperlink r:id="rId14" w:tooltip="State Border of Ukraine" w:history="1">
        <w:r w:rsidRPr="009920F2">
          <w:rPr>
            <w:lang w:val="en-GB"/>
          </w:rPr>
          <w:t>borders</w:t>
        </w:r>
      </w:hyperlink>
      <w:r w:rsidRPr="009920F2">
        <w:rPr>
          <w:lang w:val="en-GB"/>
        </w:rPr>
        <w:t> </w:t>
      </w:r>
      <w:hyperlink r:id="rId15" w:tooltip="Russia" w:history="1">
        <w:r w:rsidRPr="009920F2">
          <w:rPr>
            <w:lang w:val="en-GB"/>
          </w:rPr>
          <w:t>Russia</w:t>
        </w:r>
      </w:hyperlink>
      <w:r w:rsidRPr="009920F2">
        <w:rPr>
          <w:lang w:val="en-GB"/>
        </w:rPr>
        <w:t> to the east and northeast, </w:t>
      </w:r>
      <w:hyperlink r:id="rId16" w:tooltip="Belarus" w:history="1">
        <w:r w:rsidRPr="009920F2">
          <w:rPr>
            <w:lang w:val="en-GB"/>
          </w:rPr>
          <w:t>Belarus</w:t>
        </w:r>
      </w:hyperlink>
      <w:r w:rsidRPr="009920F2">
        <w:rPr>
          <w:lang w:val="en-GB"/>
        </w:rPr>
        <w:t> to the northwest, </w:t>
      </w:r>
      <w:hyperlink r:id="rId17" w:tooltip="Poland" w:history="1">
        <w:r w:rsidRPr="009920F2">
          <w:rPr>
            <w:lang w:val="en-GB"/>
          </w:rPr>
          <w:t>Poland</w:t>
        </w:r>
      </w:hyperlink>
      <w:r w:rsidRPr="009920F2">
        <w:rPr>
          <w:lang w:val="en-GB"/>
        </w:rPr>
        <w:t>, </w:t>
      </w:r>
      <w:hyperlink r:id="rId18" w:tooltip="Slovakia" w:history="1">
        <w:r w:rsidRPr="009920F2">
          <w:rPr>
            <w:lang w:val="en-GB"/>
          </w:rPr>
          <w:t>Slovakia</w:t>
        </w:r>
      </w:hyperlink>
      <w:r w:rsidRPr="009920F2">
        <w:rPr>
          <w:lang w:val="en-GB"/>
        </w:rPr>
        <w:t> and </w:t>
      </w:r>
      <w:hyperlink r:id="rId19" w:tooltip="Hungary" w:history="1">
        <w:r w:rsidRPr="009920F2">
          <w:rPr>
            <w:lang w:val="en-GB"/>
          </w:rPr>
          <w:t>Hungary</w:t>
        </w:r>
      </w:hyperlink>
      <w:r w:rsidRPr="009920F2">
        <w:rPr>
          <w:lang w:val="en-GB"/>
        </w:rPr>
        <w:t> to the west, </w:t>
      </w:r>
      <w:hyperlink r:id="rId20" w:tooltip="Romania" w:history="1">
        <w:r w:rsidRPr="009920F2">
          <w:rPr>
            <w:lang w:val="en-GB"/>
          </w:rPr>
          <w:t>Romania</w:t>
        </w:r>
      </w:hyperlink>
      <w:r w:rsidRPr="009920F2">
        <w:rPr>
          <w:lang w:val="en-GB"/>
        </w:rPr>
        <w:t> and </w:t>
      </w:r>
      <w:hyperlink r:id="rId21" w:tooltip="Moldova" w:history="1">
        <w:r w:rsidRPr="009920F2">
          <w:rPr>
            <w:lang w:val="en-GB"/>
          </w:rPr>
          <w:t>Moldova</w:t>
        </w:r>
      </w:hyperlink>
      <w:r w:rsidRPr="009920F2">
        <w:rPr>
          <w:lang w:val="en-GB"/>
        </w:rPr>
        <w:t> to the southwest, and the </w:t>
      </w:r>
      <w:hyperlink r:id="rId22" w:tooltip="Black Sea" w:history="1">
        <w:r w:rsidRPr="009920F2">
          <w:rPr>
            <w:lang w:val="en-GB"/>
          </w:rPr>
          <w:t>Black Sea</w:t>
        </w:r>
      </w:hyperlink>
      <w:r w:rsidRPr="009920F2">
        <w:rPr>
          <w:lang w:val="en-GB"/>
        </w:rPr>
        <w:t> and </w:t>
      </w:r>
      <w:hyperlink r:id="rId23" w:tooltip="Sea of Azov" w:history="1">
        <w:r w:rsidRPr="009920F2">
          <w:rPr>
            <w:lang w:val="en-GB"/>
          </w:rPr>
          <w:t>Sea of Azov</w:t>
        </w:r>
      </w:hyperlink>
      <w:r w:rsidRPr="009920F2">
        <w:rPr>
          <w:lang w:val="en-GB"/>
        </w:rPr>
        <w:t> to the south and southeast, respectively.</w:t>
      </w:r>
    </w:p>
    <w:p w:rsidR="009920F2" w:rsidRDefault="003209DF" w:rsidP="004E0B0D">
      <w:pPr>
        <w:jc w:val="center"/>
        <w:rPr>
          <w:b/>
          <w:sz w:val="40"/>
          <w:lang w:val="en-US"/>
        </w:rPr>
      </w:pPr>
      <w:r>
        <w:rPr>
          <w:b/>
          <w:noProof/>
          <w:sz w:val="40"/>
        </w:rPr>
        <w:drawing>
          <wp:inline distT="0" distB="0" distL="0" distR="0">
            <wp:extent cx="5238750" cy="3838575"/>
            <wp:effectExtent l="19050" t="0" r="0" b="0"/>
            <wp:docPr id="9" name="Рисунок 4" descr="C:\Users\User_4\Desktop\U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_4\Desktop\UA_map.jpg"/>
                    <pic:cNvPicPr>
                      <a:picLocks noChangeAspect="1" noChangeArrowheads="1"/>
                    </pic:cNvPicPr>
                  </pic:nvPicPr>
                  <pic:blipFill>
                    <a:blip r:embed="rId24" cstate="print"/>
                    <a:srcRect/>
                    <a:stretch>
                      <a:fillRect/>
                    </a:stretch>
                  </pic:blipFill>
                  <pic:spPr bwMode="auto">
                    <a:xfrm>
                      <a:off x="0" y="0"/>
                      <a:ext cx="5238750" cy="3838575"/>
                    </a:xfrm>
                    <a:prstGeom prst="rect">
                      <a:avLst/>
                    </a:prstGeom>
                    <a:noFill/>
                    <a:ln w="9525">
                      <a:noFill/>
                      <a:miter lim="800000"/>
                      <a:headEnd/>
                      <a:tailEnd/>
                    </a:ln>
                  </pic:spPr>
                </pic:pic>
              </a:graphicData>
            </a:graphic>
          </wp:inline>
        </w:drawing>
      </w:r>
    </w:p>
    <w:p w:rsidR="009920F2" w:rsidRPr="009920F2" w:rsidRDefault="009920F2" w:rsidP="004E0B0D">
      <w:pPr>
        <w:jc w:val="center"/>
        <w:rPr>
          <w:lang w:val="en-GB"/>
        </w:rPr>
      </w:pPr>
    </w:p>
    <w:p w:rsidR="009920F2" w:rsidRDefault="009920F2" w:rsidP="009920F2">
      <w:pPr>
        <w:jc w:val="both"/>
        <w:rPr>
          <w:lang w:val="en-GB"/>
        </w:rPr>
      </w:pPr>
      <w:r w:rsidRPr="009920F2">
        <w:rPr>
          <w:lang w:val="en-GB"/>
        </w:rPr>
        <w:t>In 2014, Ukraine was ranked number 19 on the Emerging Market Energy Security Growth Prosperity Index, published by the </w:t>
      </w:r>
      <w:hyperlink r:id="rId25" w:tooltip="Think tank" w:history="1">
        <w:r w:rsidRPr="009920F2">
          <w:rPr>
            <w:lang w:val="en-GB"/>
          </w:rPr>
          <w:t>think tank</w:t>
        </w:r>
      </w:hyperlink>
      <w:r w:rsidRPr="009920F2">
        <w:rPr>
          <w:lang w:val="en-GB"/>
        </w:rPr>
        <w:t> </w:t>
      </w:r>
      <w:proofErr w:type="spellStart"/>
      <w:r w:rsidRPr="009920F2">
        <w:rPr>
          <w:lang w:val="en-GB"/>
        </w:rPr>
        <w:t>Bisignis</w:t>
      </w:r>
      <w:proofErr w:type="spellEnd"/>
      <w:r w:rsidRPr="009920F2">
        <w:rPr>
          <w:lang w:val="en-GB"/>
        </w:rPr>
        <w:t xml:space="preserve"> Institute, which ranks emerging market countries using government corruption, GDP growth and oil reserve information. </w:t>
      </w:r>
    </w:p>
    <w:p w:rsidR="009920F2" w:rsidRPr="009709B7" w:rsidRDefault="009920F2" w:rsidP="003209DF">
      <w:pPr>
        <w:pStyle w:val="NormalWeb"/>
        <w:shd w:val="clear" w:color="auto" w:fill="FFFFFF"/>
        <w:spacing w:before="120" w:beforeAutospacing="0" w:after="120" w:afterAutospacing="0" w:line="336" w:lineRule="atLeast"/>
        <w:jc w:val="both"/>
        <w:rPr>
          <w:rFonts w:asciiTheme="minorHAnsi" w:eastAsiaTheme="minorHAnsi" w:hAnsiTheme="minorHAnsi" w:cstheme="minorBidi"/>
          <w:sz w:val="22"/>
          <w:szCs w:val="22"/>
          <w:lang w:val="en-GB" w:eastAsia="en-US"/>
        </w:rPr>
      </w:pPr>
      <w:r w:rsidRPr="009709B7">
        <w:rPr>
          <w:rFonts w:asciiTheme="minorHAnsi" w:eastAsiaTheme="minorHAnsi" w:hAnsiTheme="minorHAnsi" w:cstheme="minorBidi"/>
          <w:sz w:val="22"/>
          <w:szCs w:val="22"/>
          <w:lang w:val="en-GB" w:eastAsia="en-US"/>
        </w:rPr>
        <w:t>Ukraine has been a net </w:t>
      </w:r>
      <w:hyperlink r:id="rId26" w:tooltip="Electricity market" w:history="1">
        <w:r w:rsidRPr="009709B7">
          <w:rPr>
            <w:rFonts w:asciiTheme="minorHAnsi" w:eastAsiaTheme="minorHAnsi" w:hAnsiTheme="minorHAnsi" w:cstheme="minorBidi"/>
            <w:sz w:val="22"/>
            <w:szCs w:val="22"/>
            <w:lang w:val="en-GB" w:eastAsia="en-US"/>
          </w:rPr>
          <w:t>energy exporting</w:t>
        </w:r>
      </w:hyperlink>
      <w:r w:rsidRPr="009709B7">
        <w:rPr>
          <w:rFonts w:asciiTheme="minorHAnsi" w:eastAsiaTheme="minorHAnsi" w:hAnsiTheme="minorHAnsi" w:cstheme="minorBidi"/>
          <w:sz w:val="22"/>
          <w:szCs w:val="22"/>
          <w:lang w:val="en-GB" w:eastAsia="en-US"/>
        </w:rPr>
        <w:t xml:space="preserve"> country, for example in 2011, 3.3% of electricity produced </w:t>
      </w:r>
      <w:proofErr w:type="gramStart"/>
      <w:r w:rsidRPr="009709B7">
        <w:rPr>
          <w:rFonts w:asciiTheme="minorHAnsi" w:eastAsiaTheme="minorHAnsi" w:hAnsiTheme="minorHAnsi" w:cstheme="minorBidi"/>
          <w:sz w:val="22"/>
          <w:szCs w:val="22"/>
          <w:lang w:val="en-GB" w:eastAsia="en-US"/>
        </w:rPr>
        <w:t>were</w:t>
      </w:r>
      <w:proofErr w:type="gramEnd"/>
      <w:r w:rsidRPr="009709B7">
        <w:rPr>
          <w:rFonts w:asciiTheme="minorHAnsi" w:eastAsiaTheme="minorHAnsi" w:hAnsiTheme="minorHAnsi" w:cstheme="minorBidi"/>
          <w:sz w:val="22"/>
          <w:szCs w:val="22"/>
          <w:lang w:val="en-GB" w:eastAsia="en-US"/>
        </w:rPr>
        <w:t xml:space="preserve"> exported, but also one of Europe's largest </w:t>
      </w:r>
      <w:hyperlink r:id="rId27" w:tooltip="Electricity" w:history="1">
        <w:r w:rsidRPr="009709B7">
          <w:rPr>
            <w:rFonts w:asciiTheme="minorHAnsi" w:eastAsiaTheme="minorHAnsi" w:hAnsiTheme="minorHAnsi" w:cstheme="minorBidi"/>
            <w:sz w:val="22"/>
            <w:szCs w:val="22"/>
            <w:lang w:val="en-GB" w:eastAsia="en-US"/>
          </w:rPr>
          <w:t>energy</w:t>
        </w:r>
      </w:hyperlink>
      <w:r w:rsidRPr="009709B7">
        <w:rPr>
          <w:rFonts w:asciiTheme="minorHAnsi" w:eastAsiaTheme="minorHAnsi" w:hAnsiTheme="minorHAnsi" w:cstheme="minorBidi"/>
          <w:sz w:val="22"/>
          <w:szCs w:val="22"/>
          <w:lang w:val="en-GB" w:eastAsia="en-US"/>
        </w:rPr>
        <w:t xml:space="preserve"> consumers. As of 2011, 47.6% of total electricity generation was from </w:t>
      </w:r>
      <w:hyperlink r:id="rId28" w:tooltip="Nuclear power" w:history="1">
        <w:r w:rsidRPr="009709B7">
          <w:rPr>
            <w:rFonts w:asciiTheme="minorHAnsi" w:eastAsiaTheme="minorHAnsi" w:hAnsiTheme="minorHAnsi" w:cstheme="minorBidi"/>
            <w:sz w:val="22"/>
            <w:szCs w:val="22"/>
            <w:lang w:val="en-GB" w:eastAsia="en-US"/>
          </w:rPr>
          <w:t>nuclear power</w:t>
        </w:r>
      </w:hyperlink>
      <w:r w:rsidR="00C47144">
        <w:rPr>
          <w:lang w:val="en-US"/>
        </w:rPr>
        <w:t>.</w:t>
      </w:r>
      <w:hyperlink r:id="rId29" w:anchor="cite_note-mpe.kmu.gov.ua-231" w:history="1"/>
      <w:r w:rsidRPr="009709B7">
        <w:rPr>
          <w:rFonts w:asciiTheme="minorHAnsi" w:eastAsiaTheme="minorHAnsi" w:hAnsiTheme="minorHAnsi" w:cstheme="minorBidi"/>
          <w:sz w:val="22"/>
          <w:szCs w:val="22"/>
          <w:lang w:val="en-GB" w:eastAsia="en-US"/>
        </w:rPr>
        <w:t> The largest </w:t>
      </w:r>
      <w:hyperlink r:id="rId30" w:tooltip="Nuclear power plant" w:history="1">
        <w:r w:rsidRPr="009709B7">
          <w:rPr>
            <w:rFonts w:asciiTheme="minorHAnsi" w:eastAsiaTheme="minorHAnsi" w:hAnsiTheme="minorHAnsi" w:cstheme="minorBidi"/>
            <w:sz w:val="22"/>
            <w:szCs w:val="22"/>
            <w:lang w:val="en-GB" w:eastAsia="en-US"/>
          </w:rPr>
          <w:t>nuclear power plant</w:t>
        </w:r>
      </w:hyperlink>
      <w:r w:rsidRPr="009709B7">
        <w:rPr>
          <w:rFonts w:asciiTheme="minorHAnsi" w:eastAsiaTheme="minorHAnsi" w:hAnsiTheme="minorHAnsi" w:cstheme="minorBidi"/>
          <w:sz w:val="22"/>
          <w:szCs w:val="22"/>
          <w:lang w:val="en-GB" w:eastAsia="en-US"/>
        </w:rPr>
        <w:t> in Europe, the </w:t>
      </w:r>
      <w:proofErr w:type="spellStart"/>
      <w:r w:rsidR="00B27956" w:rsidRPr="009709B7">
        <w:rPr>
          <w:rFonts w:asciiTheme="minorHAnsi" w:eastAsiaTheme="minorHAnsi" w:hAnsiTheme="minorHAnsi" w:cstheme="minorBidi"/>
          <w:sz w:val="22"/>
          <w:szCs w:val="22"/>
          <w:lang w:val="en-GB" w:eastAsia="en-US"/>
        </w:rPr>
        <w:fldChar w:fldCharType="begin"/>
      </w:r>
      <w:r w:rsidRPr="009709B7">
        <w:rPr>
          <w:rFonts w:asciiTheme="minorHAnsi" w:eastAsiaTheme="minorHAnsi" w:hAnsiTheme="minorHAnsi" w:cstheme="minorBidi"/>
          <w:sz w:val="22"/>
          <w:szCs w:val="22"/>
          <w:lang w:val="en-GB" w:eastAsia="en-US"/>
        </w:rPr>
        <w:instrText xml:space="preserve"> HYPERLINK "http://en.wikipedia.org/wiki/Zaporizhzhia_Nuclear_Power_Plant" \o "Zaporizhzhia Nuclear Power Plant" </w:instrText>
      </w:r>
      <w:r w:rsidR="00B27956" w:rsidRPr="009709B7">
        <w:rPr>
          <w:rFonts w:asciiTheme="minorHAnsi" w:eastAsiaTheme="minorHAnsi" w:hAnsiTheme="minorHAnsi" w:cstheme="minorBidi"/>
          <w:sz w:val="22"/>
          <w:szCs w:val="22"/>
          <w:lang w:val="en-GB" w:eastAsia="en-US"/>
        </w:rPr>
        <w:fldChar w:fldCharType="separate"/>
      </w:r>
      <w:r w:rsidRPr="009709B7">
        <w:rPr>
          <w:rFonts w:asciiTheme="minorHAnsi" w:eastAsiaTheme="minorHAnsi" w:hAnsiTheme="minorHAnsi" w:cstheme="minorBidi"/>
          <w:sz w:val="22"/>
          <w:szCs w:val="22"/>
          <w:lang w:val="en-GB" w:eastAsia="en-US"/>
        </w:rPr>
        <w:t>Zaporizhzhia</w:t>
      </w:r>
      <w:proofErr w:type="spellEnd"/>
      <w:r w:rsidRPr="009709B7">
        <w:rPr>
          <w:rFonts w:asciiTheme="minorHAnsi" w:eastAsiaTheme="minorHAnsi" w:hAnsiTheme="minorHAnsi" w:cstheme="minorBidi"/>
          <w:sz w:val="22"/>
          <w:szCs w:val="22"/>
          <w:lang w:val="en-GB" w:eastAsia="en-US"/>
        </w:rPr>
        <w:t xml:space="preserve"> Nuclear Power Plant</w:t>
      </w:r>
      <w:r w:rsidR="00B27956" w:rsidRPr="009709B7">
        <w:rPr>
          <w:rFonts w:asciiTheme="minorHAnsi" w:eastAsiaTheme="minorHAnsi" w:hAnsiTheme="minorHAnsi" w:cstheme="minorBidi"/>
          <w:sz w:val="22"/>
          <w:szCs w:val="22"/>
          <w:lang w:val="en-GB" w:eastAsia="en-US"/>
        </w:rPr>
        <w:fldChar w:fldCharType="end"/>
      </w:r>
      <w:r w:rsidRPr="009709B7">
        <w:rPr>
          <w:rFonts w:asciiTheme="minorHAnsi" w:eastAsiaTheme="minorHAnsi" w:hAnsiTheme="minorHAnsi" w:cstheme="minorBidi"/>
          <w:sz w:val="22"/>
          <w:szCs w:val="22"/>
          <w:lang w:val="en-GB" w:eastAsia="en-US"/>
        </w:rPr>
        <w:t>, is located in Ukraine. Most of the nuclear fuel has been coming from </w:t>
      </w:r>
      <w:hyperlink r:id="rId31" w:tooltip="Russia" w:history="1">
        <w:r w:rsidRPr="009709B7">
          <w:rPr>
            <w:rFonts w:asciiTheme="minorHAnsi" w:eastAsiaTheme="minorHAnsi" w:hAnsiTheme="minorHAnsi" w:cstheme="minorBidi"/>
            <w:sz w:val="22"/>
            <w:szCs w:val="22"/>
            <w:lang w:val="en-GB" w:eastAsia="en-US"/>
          </w:rPr>
          <w:t>Russia</w:t>
        </w:r>
      </w:hyperlink>
      <w:r w:rsidRPr="009709B7">
        <w:rPr>
          <w:rFonts w:asciiTheme="minorHAnsi" w:eastAsiaTheme="minorHAnsi" w:hAnsiTheme="minorHAnsi" w:cstheme="minorBidi"/>
          <w:sz w:val="22"/>
          <w:szCs w:val="22"/>
          <w:lang w:val="en-GB" w:eastAsia="en-US"/>
        </w:rPr>
        <w:t>. In 2008 </w:t>
      </w:r>
      <w:hyperlink r:id="rId32" w:tooltip="Westinghouse Electric Company" w:history="1">
        <w:r w:rsidRPr="009709B7">
          <w:rPr>
            <w:rFonts w:asciiTheme="minorHAnsi" w:eastAsiaTheme="minorHAnsi" w:hAnsiTheme="minorHAnsi" w:cstheme="minorBidi"/>
            <w:sz w:val="22"/>
            <w:szCs w:val="22"/>
            <w:lang w:val="en-GB" w:eastAsia="en-US"/>
          </w:rPr>
          <w:t>Westinghouse Electric Company</w:t>
        </w:r>
      </w:hyperlink>
      <w:r w:rsidRPr="009709B7">
        <w:rPr>
          <w:rFonts w:asciiTheme="minorHAnsi" w:eastAsiaTheme="minorHAnsi" w:hAnsiTheme="minorHAnsi" w:cstheme="minorBidi"/>
          <w:sz w:val="22"/>
          <w:szCs w:val="22"/>
          <w:lang w:val="en-GB" w:eastAsia="en-US"/>
        </w:rPr>
        <w:t> won a five-year contract selling nuclear fuel to three Ukrainian reactors starting in 2011. Following </w:t>
      </w:r>
      <w:hyperlink r:id="rId33" w:tooltip="Euromaidan" w:history="1">
        <w:r w:rsidRPr="009709B7">
          <w:rPr>
            <w:rFonts w:asciiTheme="minorHAnsi" w:eastAsiaTheme="minorHAnsi" w:hAnsiTheme="minorHAnsi" w:cstheme="minorBidi"/>
            <w:sz w:val="22"/>
            <w:szCs w:val="22"/>
            <w:lang w:val="en-GB" w:eastAsia="en-US"/>
          </w:rPr>
          <w:t>Euromaidan</w:t>
        </w:r>
      </w:hyperlink>
      <w:r w:rsidRPr="009709B7">
        <w:rPr>
          <w:rFonts w:asciiTheme="minorHAnsi" w:eastAsiaTheme="minorHAnsi" w:hAnsiTheme="minorHAnsi" w:cstheme="minorBidi"/>
          <w:sz w:val="22"/>
          <w:szCs w:val="22"/>
          <w:lang w:val="en-GB" w:eastAsia="en-US"/>
        </w:rPr>
        <w:t> then President </w:t>
      </w:r>
      <w:hyperlink r:id="rId34" w:tooltip="Viktor Yanukovich" w:history="1">
        <w:r w:rsidRPr="009709B7">
          <w:rPr>
            <w:rFonts w:asciiTheme="minorHAnsi" w:eastAsiaTheme="minorHAnsi" w:hAnsiTheme="minorHAnsi" w:cstheme="minorBidi"/>
            <w:sz w:val="22"/>
            <w:szCs w:val="22"/>
            <w:lang w:val="en-GB" w:eastAsia="en-US"/>
          </w:rPr>
          <w:t xml:space="preserve">Viktor </w:t>
        </w:r>
        <w:proofErr w:type="spellStart"/>
        <w:r w:rsidRPr="009709B7">
          <w:rPr>
            <w:rFonts w:asciiTheme="minorHAnsi" w:eastAsiaTheme="minorHAnsi" w:hAnsiTheme="minorHAnsi" w:cstheme="minorBidi"/>
            <w:sz w:val="22"/>
            <w:szCs w:val="22"/>
            <w:lang w:val="en-GB" w:eastAsia="en-US"/>
          </w:rPr>
          <w:t>Yanukovich</w:t>
        </w:r>
        <w:proofErr w:type="spellEnd"/>
      </w:hyperlink>
      <w:r w:rsidRPr="009709B7">
        <w:rPr>
          <w:rFonts w:asciiTheme="minorHAnsi" w:eastAsiaTheme="minorHAnsi" w:hAnsiTheme="minorHAnsi" w:cstheme="minorBidi"/>
          <w:sz w:val="22"/>
          <w:szCs w:val="22"/>
          <w:lang w:val="en-GB" w:eastAsia="en-US"/>
        </w:rPr>
        <w:t> introduced a ban on </w:t>
      </w:r>
      <w:proofErr w:type="spellStart"/>
      <w:r w:rsidR="00B27956" w:rsidRPr="009709B7">
        <w:rPr>
          <w:rFonts w:asciiTheme="minorHAnsi" w:eastAsiaTheme="minorHAnsi" w:hAnsiTheme="minorHAnsi" w:cstheme="minorBidi"/>
          <w:sz w:val="22"/>
          <w:szCs w:val="22"/>
          <w:lang w:val="en-GB" w:eastAsia="en-US"/>
        </w:rPr>
        <w:fldChar w:fldCharType="begin"/>
      </w:r>
      <w:r w:rsidRPr="009709B7">
        <w:rPr>
          <w:rFonts w:asciiTheme="minorHAnsi" w:eastAsiaTheme="minorHAnsi" w:hAnsiTheme="minorHAnsi" w:cstheme="minorBidi"/>
          <w:sz w:val="22"/>
          <w:szCs w:val="22"/>
          <w:lang w:val="en-GB" w:eastAsia="en-US"/>
        </w:rPr>
        <w:instrText xml:space="preserve"> HYPERLINK "http://en.wikipedia.org/wiki/Rosatom" \o "Rosatom" </w:instrText>
      </w:r>
      <w:r w:rsidR="00B27956" w:rsidRPr="009709B7">
        <w:rPr>
          <w:rFonts w:asciiTheme="minorHAnsi" w:eastAsiaTheme="minorHAnsi" w:hAnsiTheme="minorHAnsi" w:cstheme="minorBidi"/>
          <w:sz w:val="22"/>
          <w:szCs w:val="22"/>
          <w:lang w:val="en-GB" w:eastAsia="en-US"/>
        </w:rPr>
        <w:fldChar w:fldCharType="separate"/>
      </w:r>
      <w:r w:rsidRPr="009709B7">
        <w:rPr>
          <w:rFonts w:asciiTheme="minorHAnsi" w:eastAsiaTheme="minorHAnsi" w:hAnsiTheme="minorHAnsi" w:cstheme="minorBidi"/>
          <w:sz w:val="22"/>
          <w:szCs w:val="22"/>
          <w:lang w:val="en-GB" w:eastAsia="en-US"/>
        </w:rPr>
        <w:t>Rosatom</w:t>
      </w:r>
      <w:proofErr w:type="spellEnd"/>
      <w:r w:rsidR="00B27956" w:rsidRPr="009709B7">
        <w:rPr>
          <w:rFonts w:asciiTheme="minorHAnsi" w:eastAsiaTheme="minorHAnsi" w:hAnsiTheme="minorHAnsi" w:cstheme="minorBidi"/>
          <w:sz w:val="22"/>
          <w:szCs w:val="22"/>
          <w:lang w:val="en-GB" w:eastAsia="en-US"/>
        </w:rPr>
        <w:fldChar w:fldCharType="end"/>
      </w:r>
      <w:r w:rsidRPr="009709B7">
        <w:rPr>
          <w:rFonts w:asciiTheme="minorHAnsi" w:eastAsiaTheme="minorHAnsi" w:hAnsiTheme="minorHAnsi" w:cstheme="minorBidi"/>
          <w:sz w:val="22"/>
          <w:szCs w:val="22"/>
          <w:lang w:val="en-GB" w:eastAsia="en-US"/>
        </w:rPr>
        <w:t> nuclear fuel shipments to Europe via Ukraine, which was in effect from 28 January until 6 March 2014. After the Russian annexation of Crimea in April 2014, the National Nuclear Energy Generating Company of Ukraine </w:t>
      </w:r>
      <w:proofErr w:type="spellStart"/>
      <w:r w:rsidR="00B27956" w:rsidRPr="009709B7">
        <w:rPr>
          <w:rFonts w:asciiTheme="minorHAnsi" w:eastAsiaTheme="minorHAnsi" w:hAnsiTheme="minorHAnsi" w:cstheme="minorBidi"/>
          <w:sz w:val="22"/>
          <w:szCs w:val="22"/>
          <w:lang w:val="en-GB" w:eastAsia="en-US"/>
        </w:rPr>
        <w:fldChar w:fldCharType="begin"/>
      </w:r>
      <w:r w:rsidRPr="009709B7">
        <w:rPr>
          <w:rFonts w:asciiTheme="minorHAnsi" w:eastAsiaTheme="minorHAnsi" w:hAnsiTheme="minorHAnsi" w:cstheme="minorBidi"/>
          <w:sz w:val="22"/>
          <w:szCs w:val="22"/>
          <w:lang w:val="en-GB" w:eastAsia="en-US"/>
        </w:rPr>
        <w:instrText xml:space="preserve"> HYPERLINK "http://en.wikipedia.org/wiki/Energoatom" \o "Energoatom" </w:instrText>
      </w:r>
      <w:r w:rsidR="00B27956" w:rsidRPr="009709B7">
        <w:rPr>
          <w:rFonts w:asciiTheme="minorHAnsi" w:eastAsiaTheme="minorHAnsi" w:hAnsiTheme="minorHAnsi" w:cstheme="minorBidi"/>
          <w:sz w:val="22"/>
          <w:szCs w:val="22"/>
          <w:lang w:val="en-GB" w:eastAsia="en-US"/>
        </w:rPr>
        <w:fldChar w:fldCharType="separate"/>
      </w:r>
      <w:r w:rsidRPr="009709B7">
        <w:rPr>
          <w:rFonts w:asciiTheme="minorHAnsi" w:eastAsiaTheme="minorHAnsi" w:hAnsiTheme="minorHAnsi" w:cstheme="minorBidi"/>
          <w:sz w:val="22"/>
          <w:szCs w:val="22"/>
          <w:lang w:val="en-GB" w:eastAsia="en-US"/>
        </w:rPr>
        <w:t>Energoatom</w:t>
      </w:r>
      <w:proofErr w:type="spellEnd"/>
      <w:r w:rsidR="00B27956" w:rsidRPr="009709B7">
        <w:rPr>
          <w:rFonts w:asciiTheme="minorHAnsi" w:eastAsiaTheme="minorHAnsi" w:hAnsiTheme="minorHAnsi" w:cstheme="minorBidi"/>
          <w:sz w:val="22"/>
          <w:szCs w:val="22"/>
          <w:lang w:val="en-GB" w:eastAsia="en-US"/>
        </w:rPr>
        <w:fldChar w:fldCharType="end"/>
      </w:r>
      <w:r w:rsidRPr="009709B7">
        <w:rPr>
          <w:rFonts w:asciiTheme="minorHAnsi" w:eastAsiaTheme="minorHAnsi" w:hAnsiTheme="minorHAnsi" w:cstheme="minorBidi"/>
          <w:sz w:val="22"/>
          <w:szCs w:val="22"/>
          <w:lang w:val="en-GB" w:eastAsia="en-US"/>
        </w:rPr>
        <w:t> and Westinghouse extended the contract for fuel deliveries through 2020.</w:t>
      </w:r>
      <w:r w:rsidR="003209DF" w:rsidRPr="009709B7">
        <w:rPr>
          <w:rFonts w:asciiTheme="minorHAnsi" w:eastAsiaTheme="minorHAnsi" w:hAnsiTheme="minorHAnsi" w:cstheme="minorBidi"/>
          <w:sz w:val="22"/>
          <w:szCs w:val="22"/>
          <w:lang w:val="en-GB" w:eastAsia="en-US"/>
        </w:rPr>
        <w:t xml:space="preserve"> </w:t>
      </w:r>
    </w:p>
    <w:p w:rsidR="009920F2" w:rsidRPr="009920F2" w:rsidRDefault="00EB2FBF" w:rsidP="003209DF">
      <w:pPr>
        <w:pStyle w:val="NormalWeb"/>
        <w:shd w:val="clear" w:color="auto" w:fill="FFFFFF"/>
        <w:spacing w:before="120" w:beforeAutospacing="0" w:after="120" w:afterAutospacing="0" w:line="336" w:lineRule="atLeast"/>
        <w:jc w:val="both"/>
        <w:rPr>
          <w:rFonts w:asciiTheme="minorHAnsi" w:eastAsiaTheme="minorHAnsi" w:hAnsiTheme="minorHAnsi" w:cstheme="minorBidi"/>
          <w:sz w:val="22"/>
          <w:szCs w:val="22"/>
          <w:lang w:val="en-GB" w:eastAsia="en-US"/>
        </w:rPr>
      </w:pPr>
      <w:hyperlink r:id="rId35" w:tooltip="Coal" w:history="1">
        <w:r w:rsidR="009920F2" w:rsidRPr="009920F2">
          <w:rPr>
            <w:rFonts w:asciiTheme="minorHAnsi" w:eastAsiaTheme="minorHAnsi" w:hAnsiTheme="minorHAnsi" w:cstheme="minorBidi"/>
            <w:sz w:val="22"/>
            <w:szCs w:val="22"/>
            <w:lang w:val="en-GB" w:eastAsia="en-US"/>
          </w:rPr>
          <w:t>Coal</w:t>
        </w:r>
      </w:hyperlink>
      <w:r w:rsidR="009920F2" w:rsidRPr="009920F2">
        <w:rPr>
          <w:rFonts w:asciiTheme="minorHAnsi" w:eastAsiaTheme="minorHAnsi" w:hAnsiTheme="minorHAnsi" w:cstheme="minorBidi"/>
          <w:sz w:val="22"/>
          <w:szCs w:val="22"/>
          <w:lang w:val="en-GB" w:eastAsia="en-US"/>
        </w:rPr>
        <w:t>- and </w:t>
      </w:r>
      <w:hyperlink r:id="rId36" w:tooltip="Natural gas" w:history="1">
        <w:r w:rsidR="009920F2" w:rsidRPr="009920F2">
          <w:rPr>
            <w:rFonts w:asciiTheme="minorHAnsi" w:eastAsiaTheme="minorHAnsi" w:hAnsiTheme="minorHAnsi" w:cstheme="minorBidi"/>
            <w:sz w:val="22"/>
            <w:szCs w:val="22"/>
            <w:lang w:val="en-GB" w:eastAsia="en-US"/>
          </w:rPr>
          <w:t>gas</w:t>
        </w:r>
      </w:hyperlink>
      <w:r w:rsidR="009920F2" w:rsidRPr="009920F2">
        <w:rPr>
          <w:rFonts w:asciiTheme="minorHAnsi" w:eastAsiaTheme="minorHAnsi" w:hAnsiTheme="minorHAnsi" w:cstheme="minorBidi"/>
          <w:sz w:val="22"/>
          <w:szCs w:val="22"/>
          <w:lang w:val="en-GB" w:eastAsia="en-US"/>
        </w:rPr>
        <w:t>-fired </w:t>
      </w:r>
      <w:hyperlink r:id="rId37" w:tooltip="Thermal power station" w:history="1">
        <w:r w:rsidR="009920F2" w:rsidRPr="009920F2">
          <w:rPr>
            <w:rFonts w:asciiTheme="minorHAnsi" w:eastAsiaTheme="minorHAnsi" w:hAnsiTheme="minorHAnsi" w:cstheme="minorBidi"/>
            <w:sz w:val="22"/>
            <w:szCs w:val="22"/>
            <w:lang w:val="en-GB" w:eastAsia="en-US"/>
          </w:rPr>
          <w:t>thermal power stations</w:t>
        </w:r>
      </w:hyperlink>
      <w:r w:rsidR="009920F2" w:rsidRPr="009920F2">
        <w:rPr>
          <w:rFonts w:asciiTheme="minorHAnsi" w:eastAsiaTheme="minorHAnsi" w:hAnsiTheme="minorHAnsi" w:cstheme="minorBidi"/>
          <w:sz w:val="22"/>
          <w:szCs w:val="22"/>
          <w:lang w:val="en-GB" w:eastAsia="en-US"/>
        </w:rPr>
        <w:t> and </w:t>
      </w:r>
      <w:hyperlink r:id="rId38" w:tooltip="Hydro power" w:history="1">
        <w:r w:rsidR="009920F2" w:rsidRPr="009920F2">
          <w:rPr>
            <w:rFonts w:asciiTheme="minorHAnsi" w:eastAsiaTheme="minorHAnsi" w:hAnsiTheme="minorHAnsi" w:cstheme="minorBidi"/>
            <w:sz w:val="22"/>
            <w:szCs w:val="22"/>
            <w:lang w:val="en-GB" w:eastAsia="en-US"/>
          </w:rPr>
          <w:t>hydroelectricity</w:t>
        </w:r>
      </w:hyperlink>
      <w:r w:rsidR="009920F2" w:rsidRPr="009920F2">
        <w:rPr>
          <w:rFonts w:asciiTheme="minorHAnsi" w:eastAsiaTheme="minorHAnsi" w:hAnsiTheme="minorHAnsi" w:cstheme="minorBidi"/>
          <w:sz w:val="22"/>
          <w:szCs w:val="22"/>
          <w:lang w:val="en-GB" w:eastAsia="en-US"/>
        </w:rPr>
        <w:t> are the second and third largest kinds of p</w:t>
      </w:r>
      <w:r w:rsidR="003209DF">
        <w:rPr>
          <w:rFonts w:asciiTheme="minorHAnsi" w:eastAsiaTheme="minorHAnsi" w:hAnsiTheme="minorHAnsi" w:cstheme="minorBidi"/>
          <w:sz w:val="22"/>
          <w:szCs w:val="22"/>
          <w:lang w:val="en-GB" w:eastAsia="en-US"/>
        </w:rPr>
        <w:t>ower generation in the country.</w:t>
      </w:r>
    </w:p>
    <w:p w:rsidR="009920F2" w:rsidRDefault="009920F2" w:rsidP="004E0B0D">
      <w:pPr>
        <w:jc w:val="center"/>
        <w:rPr>
          <w:b/>
          <w:sz w:val="40"/>
          <w:lang w:val="en-US"/>
        </w:rPr>
      </w:pPr>
    </w:p>
    <w:p w:rsidR="00AD7776" w:rsidRPr="00AD7776" w:rsidRDefault="00AD7776" w:rsidP="00AD7776">
      <w:pPr>
        <w:spacing w:after="0"/>
        <w:jc w:val="both"/>
        <w:rPr>
          <w:lang w:val="en-GB"/>
        </w:rPr>
      </w:pPr>
      <w:r w:rsidRPr="00AD7776">
        <w:rPr>
          <w:lang w:val="en-GB"/>
        </w:rPr>
        <w:lastRenderedPageBreak/>
        <w:t xml:space="preserve">Energy markets in Ukraine have inherited the production capacities and technologies from Soviet times, but since Ukraine’s independence they underwent a number of substantial changes in organisational and ownership structure. </w:t>
      </w:r>
    </w:p>
    <w:p w:rsidR="00AD7776" w:rsidRDefault="00AD7776" w:rsidP="00AD7776">
      <w:pPr>
        <w:spacing w:after="0"/>
        <w:jc w:val="both"/>
        <w:rPr>
          <w:lang w:val="en-GB"/>
        </w:rPr>
      </w:pPr>
      <w:r w:rsidRPr="00AD7776">
        <w:rPr>
          <w:lang w:val="en-GB"/>
        </w:rPr>
        <w:t xml:space="preserve">Ukraine depends on three types of generation facilities i.e. thermal power plants (steam turbine and diesel types), hydroelectric plants (hydroelectric proper and hydroelectric accumulating plants) and nuclear power plants. The role of wind and helium power plants is minor; however it is increasing gradually. Capacity distribution among different types of power plants is shown in Diagram 1. </w:t>
      </w:r>
      <w:r w:rsidRPr="00AD7776">
        <w:rPr>
          <w:lang w:val="en-GB"/>
        </w:rPr>
        <w:cr/>
      </w:r>
    </w:p>
    <w:p w:rsidR="009920F2" w:rsidRPr="00AD7776" w:rsidRDefault="009920F2" w:rsidP="003209DF">
      <w:pPr>
        <w:spacing w:after="0"/>
        <w:ind w:firstLine="851"/>
        <w:jc w:val="both"/>
        <w:rPr>
          <w:lang w:val="en-GB"/>
        </w:rPr>
      </w:pPr>
      <w:r>
        <w:rPr>
          <w:noProof/>
        </w:rPr>
        <w:drawing>
          <wp:inline distT="0" distB="0" distL="0" distR="0">
            <wp:extent cx="4914900" cy="2596956"/>
            <wp:effectExtent l="19050" t="0" r="0" b="0"/>
            <wp:docPr id="1" name="Рисунок 1" descr="C:\Users\User_4\Desktop\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4\Desktop\energy.jpg"/>
                    <pic:cNvPicPr>
                      <a:picLocks noChangeAspect="1" noChangeArrowheads="1"/>
                    </pic:cNvPicPr>
                  </pic:nvPicPr>
                  <pic:blipFill>
                    <a:blip r:embed="rId39" cstate="print"/>
                    <a:srcRect/>
                    <a:stretch>
                      <a:fillRect/>
                    </a:stretch>
                  </pic:blipFill>
                  <pic:spPr bwMode="auto">
                    <a:xfrm>
                      <a:off x="0" y="0"/>
                      <a:ext cx="4922815" cy="2601138"/>
                    </a:xfrm>
                    <a:prstGeom prst="rect">
                      <a:avLst/>
                    </a:prstGeom>
                    <a:noFill/>
                    <a:ln w="9525">
                      <a:noFill/>
                      <a:miter lim="800000"/>
                      <a:headEnd/>
                      <a:tailEnd/>
                    </a:ln>
                  </pic:spPr>
                </pic:pic>
              </a:graphicData>
            </a:graphic>
          </wp:inline>
        </w:drawing>
      </w:r>
    </w:p>
    <w:p w:rsidR="00AD7776" w:rsidRPr="009920F2" w:rsidRDefault="009920F2" w:rsidP="009920F2">
      <w:pPr>
        <w:rPr>
          <w:b/>
          <w:sz w:val="20"/>
          <w:szCs w:val="20"/>
          <w:lang w:val="en-US"/>
        </w:rPr>
      </w:pPr>
      <w:r>
        <w:rPr>
          <w:b/>
          <w:sz w:val="20"/>
          <w:szCs w:val="20"/>
          <w:lang w:val="en-US"/>
        </w:rPr>
        <w:t xml:space="preserve">                                </w:t>
      </w:r>
      <w:r w:rsidRPr="009920F2">
        <w:rPr>
          <w:b/>
          <w:sz w:val="20"/>
          <w:szCs w:val="20"/>
          <w:lang w:val="en-US"/>
        </w:rPr>
        <w:t>Source: UA Energy</w:t>
      </w:r>
    </w:p>
    <w:p w:rsidR="00AD7776" w:rsidRPr="006269B3" w:rsidRDefault="00AD7776" w:rsidP="004E0B0D">
      <w:pPr>
        <w:jc w:val="center"/>
        <w:rPr>
          <w:b/>
          <w:sz w:val="40"/>
          <w:lang w:val="en-US"/>
        </w:rPr>
      </w:pPr>
    </w:p>
    <w:p w:rsidR="006A4F20" w:rsidRDefault="004E0B0D" w:rsidP="00ED475F">
      <w:pPr>
        <w:spacing w:after="0"/>
        <w:ind w:firstLine="708"/>
        <w:jc w:val="both"/>
        <w:rPr>
          <w:noProof/>
          <w:lang w:val="en-GB" w:eastAsia="ru-RU"/>
        </w:rPr>
      </w:pPr>
      <w:r w:rsidRPr="00392933">
        <w:rPr>
          <w:lang w:val="en-GB"/>
        </w:rPr>
        <w:t>According to the information, provided by the Ministry of Energy and Coal Industry of Ukraine, in 2013 the Ukrainian industry of alternative energy produced 1.247 billion kilowatt-hours, which is approximately twice as much as the amount produced in 2012 (</w:t>
      </w:r>
      <w:r w:rsidR="00EF71FC" w:rsidRPr="00392933">
        <w:rPr>
          <w:lang w:val="en-GB"/>
        </w:rPr>
        <w:t xml:space="preserve">638,6 million kilowatt-hours). </w:t>
      </w:r>
      <w:r w:rsidR="001F5B4F" w:rsidRPr="00392933">
        <w:rPr>
          <w:lang w:val="en-GB"/>
        </w:rPr>
        <w:t xml:space="preserve">Furthermore, in 2013 the </w:t>
      </w:r>
      <w:r w:rsidR="00ED475F">
        <w:rPr>
          <w:lang w:val="en-GB"/>
        </w:rPr>
        <w:t xml:space="preserve">electrical </w:t>
      </w:r>
      <w:r w:rsidR="001F5B4F" w:rsidRPr="00392933">
        <w:rPr>
          <w:lang w:val="en-GB"/>
        </w:rPr>
        <w:t xml:space="preserve">energy produced out of renewable energy sources accounted for 0.64% of the total amount of </w:t>
      </w:r>
      <w:r w:rsidR="00ED475F">
        <w:rPr>
          <w:lang w:val="en-GB"/>
        </w:rPr>
        <w:t xml:space="preserve">electrical </w:t>
      </w:r>
      <w:r w:rsidR="001F5B4F" w:rsidRPr="00392933">
        <w:rPr>
          <w:lang w:val="en-GB"/>
        </w:rPr>
        <w:t xml:space="preserve">energy produced in Ukraine (0.32% of the total amount in 2012). There </w:t>
      </w:r>
      <w:proofErr w:type="gramStart"/>
      <w:r w:rsidR="001F5B4F" w:rsidRPr="00392933">
        <w:rPr>
          <w:lang w:val="en-GB"/>
        </w:rPr>
        <w:t>were</w:t>
      </w:r>
      <w:proofErr w:type="gramEnd"/>
      <w:r w:rsidR="001F5B4F" w:rsidRPr="00392933">
        <w:rPr>
          <w:lang w:val="en-GB"/>
        </w:rPr>
        <w:t xml:space="preserve"> new </w:t>
      </w:r>
      <w:r w:rsidR="004711AD" w:rsidRPr="00392933">
        <w:rPr>
          <w:lang w:val="en-GB"/>
        </w:rPr>
        <w:t xml:space="preserve">renewable energy </w:t>
      </w:r>
      <w:r w:rsidR="001F5B4F" w:rsidRPr="00392933">
        <w:rPr>
          <w:lang w:val="en-GB"/>
        </w:rPr>
        <w:t>facilities with production capacity of 539 megawatt placed in operation in 2013.</w:t>
      </w:r>
      <w:r w:rsidR="004711AD" w:rsidRPr="00392933">
        <w:rPr>
          <w:lang w:val="en-GB"/>
        </w:rPr>
        <w:t xml:space="preserve"> The most significant growth showed wind power industry, solar energy industry and facilities that rework biomass.</w:t>
      </w:r>
      <w:r w:rsidR="005A3456" w:rsidRPr="00392933">
        <w:rPr>
          <w:noProof/>
          <w:lang w:val="en-GB" w:eastAsia="ru-RU"/>
        </w:rPr>
        <w:t xml:space="preserve"> </w:t>
      </w:r>
    </w:p>
    <w:p w:rsidR="00DC54FB" w:rsidRDefault="00DC54FB" w:rsidP="00ED475F">
      <w:pPr>
        <w:spacing w:after="0"/>
        <w:jc w:val="both"/>
        <w:rPr>
          <w:b/>
          <w:noProof/>
          <w:lang w:val="en-GB" w:eastAsia="ru-RU"/>
        </w:rPr>
      </w:pPr>
    </w:p>
    <w:p w:rsidR="006A4F20" w:rsidRPr="006A4F20" w:rsidRDefault="006A4F20" w:rsidP="00ED475F">
      <w:pPr>
        <w:spacing w:after="0"/>
        <w:jc w:val="both"/>
        <w:rPr>
          <w:b/>
          <w:noProof/>
          <w:lang w:val="en-GB" w:eastAsia="ru-RU"/>
        </w:rPr>
      </w:pPr>
      <w:r w:rsidRPr="006A4F20">
        <w:rPr>
          <w:b/>
          <w:noProof/>
          <w:lang w:val="en-GB" w:eastAsia="ru-RU"/>
        </w:rPr>
        <w:t>Figure 1</w:t>
      </w:r>
    </w:p>
    <w:p w:rsidR="004E0B0D" w:rsidRPr="00392933" w:rsidRDefault="005A3456" w:rsidP="00EB1B57">
      <w:pPr>
        <w:ind w:firstLine="708"/>
        <w:jc w:val="center"/>
        <w:rPr>
          <w:lang w:val="en-GB"/>
        </w:rPr>
      </w:pPr>
      <w:r w:rsidRPr="00392933">
        <w:rPr>
          <w:noProof/>
        </w:rPr>
        <w:lastRenderedPageBreak/>
        <w:drawing>
          <wp:inline distT="0" distB="0" distL="0" distR="0">
            <wp:extent cx="4429125" cy="4302390"/>
            <wp:effectExtent l="19050" t="0" r="9525" b="0"/>
            <wp:docPr id="2" name="Рисунок 1" descr="C:\Users\User_3\Desktop\139237219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3\Desktop\1392372190_big.jpg"/>
                    <pic:cNvPicPr>
                      <a:picLocks noChangeAspect="1" noChangeArrowheads="1"/>
                    </pic:cNvPicPr>
                  </pic:nvPicPr>
                  <pic:blipFill>
                    <a:blip r:embed="rId40" cstate="print"/>
                    <a:srcRect/>
                    <a:stretch>
                      <a:fillRect/>
                    </a:stretch>
                  </pic:blipFill>
                  <pic:spPr bwMode="auto">
                    <a:xfrm>
                      <a:off x="0" y="0"/>
                      <a:ext cx="4438481" cy="4311478"/>
                    </a:xfrm>
                    <a:prstGeom prst="rect">
                      <a:avLst/>
                    </a:prstGeom>
                    <a:noFill/>
                    <a:ln w="9525">
                      <a:noFill/>
                      <a:miter lim="800000"/>
                      <a:headEnd/>
                      <a:tailEnd/>
                    </a:ln>
                  </pic:spPr>
                </pic:pic>
              </a:graphicData>
            </a:graphic>
          </wp:inline>
        </w:drawing>
      </w:r>
    </w:p>
    <w:p w:rsidR="00D63A98" w:rsidRDefault="00D1545E" w:rsidP="00ED475F">
      <w:pPr>
        <w:spacing w:after="0"/>
        <w:jc w:val="both"/>
        <w:rPr>
          <w:lang w:val="en-GB"/>
        </w:rPr>
      </w:pPr>
      <w:r w:rsidRPr="00392933">
        <w:rPr>
          <w:lang w:val="en-GB"/>
        </w:rPr>
        <w:tab/>
        <w:t xml:space="preserve">According to the Energy Strategy of Ukraine 2030, it is planned that the share of alternative energy will amount to 11% of the total amount of energy produced in Ukraine in 2020. These 11% account for 12000 megawatt (6800 megawatt </w:t>
      </w:r>
      <w:r w:rsidR="00296E01" w:rsidRPr="00392933">
        <w:rPr>
          <w:lang w:val="en-GB"/>
        </w:rPr>
        <w:t>will be delivered by hydroelectric power stations and pumped-storage hydroelectric power stations, 5200 megawatt will be delivered by small hydro power stations, wind power stations, solar pow</w:t>
      </w:r>
      <w:r w:rsidR="00392933">
        <w:rPr>
          <w:lang w:val="en-GB"/>
        </w:rPr>
        <w:t>er stations, biomass and biogas</w:t>
      </w:r>
      <w:r w:rsidR="00296E01" w:rsidRPr="00392933">
        <w:rPr>
          <w:lang w:val="en-GB"/>
        </w:rPr>
        <w:t>).</w:t>
      </w:r>
    </w:p>
    <w:p w:rsidR="006A4F20" w:rsidRDefault="006A4F20" w:rsidP="00D1545E">
      <w:pPr>
        <w:jc w:val="both"/>
        <w:rPr>
          <w:lang w:val="en-GB"/>
        </w:rPr>
      </w:pPr>
    </w:p>
    <w:p w:rsidR="00EB1B57" w:rsidRDefault="00EB1B57" w:rsidP="00D1545E">
      <w:pPr>
        <w:jc w:val="both"/>
        <w:rPr>
          <w:lang w:val="en-GB"/>
        </w:rPr>
      </w:pPr>
    </w:p>
    <w:p w:rsidR="00EB1B57" w:rsidRDefault="00EB1B57" w:rsidP="00D1545E">
      <w:pPr>
        <w:jc w:val="both"/>
        <w:rPr>
          <w:lang w:val="en-GB"/>
        </w:rPr>
      </w:pPr>
    </w:p>
    <w:p w:rsidR="00EB1B57" w:rsidRDefault="00EB1B57" w:rsidP="00D1545E">
      <w:pPr>
        <w:jc w:val="both"/>
        <w:rPr>
          <w:lang w:val="en-GB"/>
        </w:rPr>
      </w:pPr>
    </w:p>
    <w:p w:rsidR="00D63A98" w:rsidRPr="006A4F20" w:rsidRDefault="006A4F20" w:rsidP="00DC54FB">
      <w:pPr>
        <w:spacing w:after="0"/>
        <w:jc w:val="both"/>
        <w:rPr>
          <w:b/>
          <w:lang w:val="en-GB"/>
        </w:rPr>
      </w:pPr>
      <w:r w:rsidRPr="006A4F20">
        <w:rPr>
          <w:b/>
          <w:lang w:val="en-GB"/>
        </w:rPr>
        <w:t>Table 1</w:t>
      </w:r>
    </w:p>
    <w:p w:rsidR="00F84C24" w:rsidRPr="00A938C4" w:rsidRDefault="00D63A98" w:rsidP="00DC54FB">
      <w:pPr>
        <w:spacing w:after="0"/>
        <w:jc w:val="center"/>
        <w:rPr>
          <w:rFonts w:cstheme="minorHAnsi"/>
          <w:b/>
          <w:lang w:val="en-GB"/>
        </w:rPr>
      </w:pPr>
      <w:r w:rsidRPr="00A938C4">
        <w:rPr>
          <w:rFonts w:cstheme="minorHAnsi"/>
          <w:b/>
          <w:lang w:val="en-GB"/>
        </w:rPr>
        <w:t>Renewable energy plants built in Ukraine in 2013*</w:t>
      </w:r>
    </w:p>
    <w:tbl>
      <w:tblPr>
        <w:tblW w:w="10495" w:type="dxa"/>
        <w:tblInd w:w="103" w:type="dxa"/>
        <w:tblLook w:val="04A0" w:firstRow="1" w:lastRow="0" w:firstColumn="1" w:lastColumn="0" w:noHBand="0" w:noVBand="1"/>
      </w:tblPr>
      <w:tblGrid>
        <w:gridCol w:w="1708"/>
        <w:gridCol w:w="1417"/>
        <w:gridCol w:w="3968"/>
        <w:gridCol w:w="2410"/>
        <w:gridCol w:w="992"/>
      </w:tblGrid>
      <w:tr w:rsidR="00F84C24" w:rsidRPr="00F84C24" w:rsidTr="00A938C4">
        <w:trPr>
          <w:trHeight w:val="300"/>
        </w:trPr>
        <w:tc>
          <w:tcPr>
            <w:tcW w:w="1706" w:type="dxa"/>
            <w:tcBorders>
              <w:top w:val="single" w:sz="4" w:space="0" w:color="4F81BD"/>
              <w:left w:val="single" w:sz="4" w:space="0" w:color="4F81BD"/>
              <w:bottom w:val="single" w:sz="4" w:space="0" w:color="4F81BD"/>
              <w:right w:val="single" w:sz="4" w:space="0" w:color="4F81BD"/>
            </w:tcBorders>
            <w:shd w:val="clear" w:color="000000" w:fill="538ED5"/>
            <w:vAlign w:val="center"/>
            <w:hideMark/>
          </w:tcPr>
          <w:p w:rsidR="00F84C24" w:rsidRPr="00F84C24" w:rsidRDefault="00F84C24" w:rsidP="00A938C4">
            <w:pPr>
              <w:spacing w:after="0" w:line="240" w:lineRule="auto"/>
              <w:jc w:val="center"/>
              <w:rPr>
                <w:rFonts w:eastAsia="Times New Roman" w:cstheme="minorHAnsi"/>
                <w:b/>
                <w:bCs/>
                <w:color w:val="FFFFFF"/>
                <w:lang w:val="en-GB" w:eastAsia="ru-RU"/>
              </w:rPr>
            </w:pPr>
            <w:r w:rsidRPr="00F84C24">
              <w:rPr>
                <w:rFonts w:eastAsia="Times New Roman" w:cstheme="minorHAnsi"/>
                <w:b/>
                <w:bCs/>
                <w:color w:val="FFFFFF"/>
                <w:lang w:val="en-GB" w:eastAsia="ru-RU"/>
              </w:rPr>
              <w:t>Region (oblast)</w:t>
            </w:r>
          </w:p>
        </w:tc>
        <w:tc>
          <w:tcPr>
            <w:tcW w:w="1418" w:type="dxa"/>
            <w:tcBorders>
              <w:top w:val="single" w:sz="4" w:space="0" w:color="4F81BD"/>
              <w:left w:val="nil"/>
              <w:bottom w:val="single" w:sz="4" w:space="0" w:color="4F81BD"/>
              <w:right w:val="single" w:sz="4" w:space="0" w:color="4F81BD"/>
            </w:tcBorders>
            <w:shd w:val="clear" w:color="000000" w:fill="538ED5"/>
            <w:vAlign w:val="center"/>
            <w:hideMark/>
          </w:tcPr>
          <w:p w:rsidR="00F84C24" w:rsidRPr="00F84C24" w:rsidRDefault="00F84C24" w:rsidP="00A938C4">
            <w:pPr>
              <w:spacing w:after="0" w:line="240" w:lineRule="auto"/>
              <w:jc w:val="center"/>
              <w:rPr>
                <w:rFonts w:eastAsia="Times New Roman" w:cstheme="minorHAnsi"/>
                <w:b/>
                <w:bCs/>
                <w:color w:val="FFFFFF"/>
                <w:lang w:val="en-GB" w:eastAsia="ru-RU"/>
              </w:rPr>
            </w:pPr>
            <w:r w:rsidRPr="00F84C24">
              <w:rPr>
                <w:rFonts w:eastAsia="Times New Roman" w:cstheme="minorHAnsi"/>
                <w:b/>
                <w:bCs/>
                <w:color w:val="FFFFFF"/>
                <w:lang w:val="en-GB" w:eastAsia="ru-RU"/>
              </w:rPr>
              <w:t>Type of energy</w:t>
            </w:r>
          </w:p>
        </w:tc>
        <w:tc>
          <w:tcPr>
            <w:tcW w:w="3969" w:type="dxa"/>
            <w:tcBorders>
              <w:top w:val="single" w:sz="4" w:space="0" w:color="4F81BD"/>
              <w:left w:val="nil"/>
              <w:bottom w:val="single" w:sz="4" w:space="0" w:color="4F81BD"/>
              <w:right w:val="single" w:sz="4" w:space="0" w:color="4F81BD"/>
            </w:tcBorders>
            <w:shd w:val="clear" w:color="000000" w:fill="538ED5"/>
            <w:vAlign w:val="center"/>
            <w:hideMark/>
          </w:tcPr>
          <w:p w:rsidR="00F84C24" w:rsidRPr="00F84C24" w:rsidRDefault="00F84C24" w:rsidP="00A938C4">
            <w:pPr>
              <w:spacing w:after="0" w:line="240" w:lineRule="auto"/>
              <w:jc w:val="center"/>
              <w:rPr>
                <w:rFonts w:eastAsia="Times New Roman" w:cstheme="minorHAnsi"/>
                <w:b/>
                <w:bCs/>
                <w:color w:val="FFFFFF"/>
                <w:lang w:val="en-GB" w:eastAsia="ru-RU"/>
              </w:rPr>
            </w:pPr>
            <w:r w:rsidRPr="00F84C24">
              <w:rPr>
                <w:rFonts w:eastAsia="Times New Roman" w:cstheme="minorHAnsi"/>
                <w:b/>
                <w:bCs/>
                <w:color w:val="FFFFFF"/>
                <w:lang w:val="en-GB" w:eastAsia="ru-RU"/>
              </w:rPr>
              <w:t>Company-operator</w:t>
            </w:r>
          </w:p>
        </w:tc>
        <w:tc>
          <w:tcPr>
            <w:tcW w:w="2410" w:type="dxa"/>
            <w:tcBorders>
              <w:top w:val="single" w:sz="4" w:space="0" w:color="4F81BD"/>
              <w:left w:val="nil"/>
              <w:bottom w:val="single" w:sz="4" w:space="0" w:color="4F81BD"/>
              <w:right w:val="single" w:sz="4" w:space="0" w:color="4F81BD"/>
            </w:tcBorders>
            <w:shd w:val="clear" w:color="000000" w:fill="538ED5"/>
            <w:vAlign w:val="center"/>
            <w:hideMark/>
          </w:tcPr>
          <w:p w:rsidR="00F84C24" w:rsidRPr="00F84C24" w:rsidRDefault="00F84C24" w:rsidP="00A938C4">
            <w:pPr>
              <w:spacing w:after="0" w:line="240" w:lineRule="auto"/>
              <w:jc w:val="center"/>
              <w:rPr>
                <w:rFonts w:eastAsia="Times New Roman" w:cstheme="minorHAnsi"/>
                <w:b/>
                <w:bCs/>
                <w:color w:val="FFFFFF"/>
                <w:lang w:val="en-GB" w:eastAsia="ru-RU"/>
              </w:rPr>
            </w:pPr>
            <w:r w:rsidRPr="00F84C24">
              <w:rPr>
                <w:rFonts w:eastAsia="Times New Roman" w:cstheme="minorHAnsi"/>
                <w:b/>
                <w:bCs/>
                <w:color w:val="FFFFFF"/>
                <w:lang w:val="en-GB" w:eastAsia="ru-RU"/>
              </w:rPr>
              <w:t>Location (Name)</w:t>
            </w:r>
          </w:p>
        </w:tc>
        <w:tc>
          <w:tcPr>
            <w:tcW w:w="992" w:type="dxa"/>
            <w:tcBorders>
              <w:top w:val="single" w:sz="4" w:space="0" w:color="4F81BD"/>
              <w:left w:val="nil"/>
              <w:bottom w:val="single" w:sz="4" w:space="0" w:color="4F81BD"/>
              <w:right w:val="single" w:sz="4" w:space="0" w:color="4F81BD"/>
            </w:tcBorders>
            <w:shd w:val="clear" w:color="000000" w:fill="538ED5"/>
            <w:vAlign w:val="center"/>
            <w:hideMark/>
          </w:tcPr>
          <w:p w:rsidR="00F84C24" w:rsidRPr="00F84C24" w:rsidRDefault="00F84C24" w:rsidP="00A938C4">
            <w:pPr>
              <w:spacing w:after="0" w:line="240" w:lineRule="auto"/>
              <w:jc w:val="center"/>
              <w:rPr>
                <w:rFonts w:eastAsia="Times New Roman" w:cstheme="minorHAnsi"/>
                <w:b/>
                <w:bCs/>
                <w:color w:val="FFFFFF"/>
                <w:lang w:val="en-GB" w:eastAsia="ru-RU"/>
              </w:rPr>
            </w:pPr>
            <w:r w:rsidRPr="00F84C24">
              <w:rPr>
                <w:rFonts w:eastAsia="Times New Roman" w:cstheme="minorHAnsi"/>
                <w:b/>
                <w:bCs/>
                <w:color w:val="FFFFFF"/>
                <w:lang w:val="en-GB" w:eastAsia="ru-RU"/>
              </w:rPr>
              <w:t>Output (MW)</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Kyivska</w:t>
            </w:r>
            <w:proofErr w:type="spellEnd"/>
            <w:r w:rsidRPr="00F84C2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Biogas</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Biogasenergo</w:t>
            </w:r>
            <w:proofErr w:type="spellEnd"/>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Ivankiv</w:t>
            </w:r>
            <w:proofErr w:type="spellEnd"/>
            <w:r w:rsidRPr="00F84C24">
              <w:rPr>
                <w:rFonts w:eastAsia="Times New Roman" w:cstheme="minorHAnsi"/>
                <w:color w:val="000000"/>
                <w:lang w:val="en-GB" w:eastAsia="ru-RU"/>
              </w:rPr>
              <w:t xml:space="preserve"> village</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6</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Kyivska</w:t>
            </w:r>
            <w:proofErr w:type="spellEnd"/>
            <w:r w:rsidRPr="00F84C2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VodEnergoRemNaladka</w:t>
            </w:r>
            <w:proofErr w:type="spellEnd"/>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Boryspil</w:t>
            </w:r>
            <w:proofErr w:type="spellEnd"/>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1,2</w:t>
            </w:r>
          </w:p>
        </w:tc>
      </w:tr>
      <w:tr w:rsidR="00F84C24" w:rsidRPr="00F84C24" w:rsidTr="00F84C24">
        <w:trPr>
          <w:trHeight w:val="7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Vinnytska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Martifer</w:t>
            </w:r>
            <w:proofErr w:type="spellEnd"/>
            <w:r w:rsidRPr="00F84C24">
              <w:rPr>
                <w:rFonts w:eastAsia="Times New Roman" w:cstheme="minorHAnsi"/>
                <w:color w:val="000000"/>
                <w:lang w:val="en-GB" w:eastAsia="ru-RU"/>
              </w:rPr>
              <w:t xml:space="preserve"> Solar Holding (Portugal) for </w:t>
            </w:r>
            <w:proofErr w:type="spellStart"/>
            <w:r w:rsidRPr="00F84C24">
              <w:rPr>
                <w:rFonts w:eastAsia="Times New Roman" w:cstheme="minorHAnsi"/>
                <w:color w:val="000000"/>
                <w:lang w:val="en-GB" w:eastAsia="ru-RU"/>
              </w:rPr>
              <w:t>Rengy</w:t>
            </w:r>
            <w:proofErr w:type="spellEnd"/>
            <w:r w:rsidRPr="00F84C24">
              <w:rPr>
                <w:rFonts w:eastAsia="Times New Roman" w:cstheme="minorHAnsi"/>
                <w:color w:val="000000"/>
                <w:lang w:val="en-GB" w:eastAsia="ru-RU"/>
              </w:rPr>
              <w:t xml:space="preserve"> Development (Kyiv)</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Tomashpolskyi</w:t>
            </w:r>
            <w:proofErr w:type="spellEnd"/>
            <w:r w:rsidRPr="00F84C24">
              <w:rPr>
                <w:rFonts w:eastAsia="Times New Roman" w:cstheme="minorHAnsi"/>
                <w:color w:val="000000"/>
                <w:lang w:val="en-GB" w:eastAsia="ru-RU"/>
              </w:rPr>
              <w:t xml:space="preserve"> rayon</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4,5</w:t>
            </w:r>
          </w:p>
        </w:tc>
      </w:tr>
      <w:tr w:rsidR="00F84C24" w:rsidRPr="00F84C24" w:rsidTr="00F84C24">
        <w:trPr>
          <w:trHeight w:val="7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Vinnytska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Martifer</w:t>
            </w:r>
            <w:proofErr w:type="spellEnd"/>
            <w:r w:rsidRPr="00F84C24">
              <w:rPr>
                <w:rFonts w:eastAsia="Times New Roman" w:cstheme="minorHAnsi"/>
                <w:color w:val="000000"/>
                <w:lang w:val="en-GB" w:eastAsia="ru-RU"/>
              </w:rPr>
              <w:t xml:space="preserve"> Solar Holding (Portugal) for </w:t>
            </w:r>
            <w:proofErr w:type="spellStart"/>
            <w:r w:rsidRPr="00F84C24">
              <w:rPr>
                <w:rFonts w:eastAsia="Times New Roman" w:cstheme="minorHAnsi"/>
                <w:color w:val="000000"/>
                <w:lang w:val="en-GB" w:eastAsia="ru-RU"/>
              </w:rPr>
              <w:t>Rengy</w:t>
            </w:r>
            <w:proofErr w:type="spellEnd"/>
            <w:r w:rsidRPr="00F84C24">
              <w:rPr>
                <w:rFonts w:eastAsia="Times New Roman" w:cstheme="minorHAnsi"/>
                <w:color w:val="000000"/>
                <w:lang w:val="en-GB" w:eastAsia="ru-RU"/>
              </w:rPr>
              <w:t xml:space="preserve"> Development (Kyiv)</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Bershadskyi</w:t>
            </w:r>
            <w:proofErr w:type="spellEnd"/>
            <w:r w:rsidRPr="00F84C24">
              <w:rPr>
                <w:rFonts w:eastAsia="Times New Roman" w:cstheme="minorHAnsi"/>
                <w:color w:val="000000"/>
                <w:lang w:val="en-GB" w:eastAsia="ru-RU"/>
              </w:rPr>
              <w:t xml:space="preserve"> rayon</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7</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Lvivska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Eco-Optima</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Sambir</w:t>
            </w:r>
            <w:proofErr w:type="spellEnd"/>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3,1</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Lvivska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Eco-Optima</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Sambir</w:t>
            </w:r>
            <w:proofErr w:type="spellEnd"/>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5</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Ivano-Frankivska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Eco-Optima</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Bogorodchansk</w:t>
            </w:r>
            <w:proofErr w:type="spellEnd"/>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2,8</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Ivano-Frankivska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Gelios</w:t>
            </w:r>
            <w:proofErr w:type="spellEnd"/>
            <w:r w:rsidRPr="00F84C24">
              <w:rPr>
                <w:rFonts w:eastAsia="Times New Roman" w:cstheme="minorHAnsi"/>
                <w:color w:val="000000"/>
                <w:lang w:val="en-GB" w:eastAsia="ru-RU"/>
              </w:rPr>
              <w:t>-Energy</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Radchevsk</w:t>
            </w:r>
            <w:proofErr w:type="spellEnd"/>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3,99</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Zakarpatska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Sonyachna</w:t>
            </w:r>
            <w:proofErr w:type="spellEnd"/>
            <w:r w:rsidRPr="00F84C24">
              <w:rPr>
                <w:rFonts w:eastAsia="Times New Roman" w:cstheme="minorHAnsi"/>
                <w:color w:val="000000"/>
                <w:lang w:val="en-GB" w:eastAsia="ru-RU"/>
              </w:rPr>
              <w:t xml:space="preserve"> </w:t>
            </w:r>
            <w:proofErr w:type="spellStart"/>
            <w:r w:rsidRPr="00F84C24">
              <w:rPr>
                <w:rFonts w:eastAsia="Times New Roman" w:cstheme="minorHAnsi"/>
                <w:color w:val="000000"/>
                <w:lang w:val="en-GB" w:eastAsia="ru-RU"/>
              </w:rPr>
              <w:t>Energiya</w:t>
            </w:r>
            <w:proofErr w:type="spellEnd"/>
            <w:r w:rsidRPr="00F84C24">
              <w:rPr>
                <w:rFonts w:eastAsia="Times New Roman" w:cstheme="minorHAnsi"/>
                <w:color w:val="000000"/>
                <w:lang w:val="en-GB" w:eastAsia="ru-RU"/>
              </w:rPr>
              <w:t xml:space="preserve"> Plus</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Irlyava</w:t>
            </w:r>
            <w:proofErr w:type="spellEnd"/>
            <w:r w:rsidRPr="00F84C24">
              <w:rPr>
                <w:rFonts w:eastAsia="Times New Roman" w:cstheme="minorHAnsi"/>
                <w:color w:val="000000"/>
                <w:lang w:val="en-GB" w:eastAsia="ru-RU"/>
              </w:rPr>
              <w:t xml:space="preserve"> village</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10,09</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Odeska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Activ</w:t>
            </w:r>
            <w:proofErr w:type="spellEnd"/>
            <w:r w:rsidRPr="00F84C24">
              <w:rPr>
                <w:rFonts w:eastAsia="Times New Roman" w:cstheme="minorHAnsi"/>
                <w:color w:val="000000"/>
                <w:lang w:val="en-GB" w:eastAsia="ru-RU"/>
              </w:rPr>
              <w:t xml:space="preserve"> Solar</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Bolgrad</w:t>
            </w:r>
            <w:proofErr w:type="spellEnd"/>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34,14</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Odeska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Activ</w:t>
            </w:r>
            <w:proofErr w:type="spellEnd"/>
            <w:r w:rsidRPr="00F84C24">
              <w:rPr>
                <w:rFonts w:eastAsia="Times New Roman" w:cstheme="minorHAnsi"/>
                <w:color w:val="000000"/>
                <w:lang w:val="en-GB" w:eastAsia="ru-RU"/>
              </w:rPr>
              <w:t xml:space="preserve"> Solar</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Lymanska</w:t>
            </w:r>
            <w:proofErr w:type="spellEnd"/>
            <w:r w:rsidRPr="00F84C24">
              <w:rPr>
                <w:rFonts w:eastAsia="Times New Roman" w:cstheme="minorHAnsi"/>
                <w:color w:val="000000"/>
                <w:lang w:val="en-GB" w:eastAsia="ru-RU"/>
              </w:rPr>
              <w:t xml:space="preserve"> SPS)</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43,44</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Odeska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Activ</w:t>
            </w:r>
            <w:proofErr w:type="spellEnd"/>
            <w:r w:rsidRPr="00F84C24">
              <w:rPr>
                <w:rFonts w:eastAsia="Times New Roman" w:cstheme="minorHAnsi"/>
                <w:color w:val="000000"/>
                <w:lang w:val="en-GB" w:eastAsia="ru-RU"/>
              </w:rPr>
              <w:t xml:space="preserve"> Solar</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Priozerna</w:t>
            </w:r>
            <w:proofErr w:type="spellEnd"/>
            <w:r w:rsidRPr="00F84C24">
              <w:rPr>
                <w:rFonts w:eastAsia="Times New Roman" w:cstheme="minorHAnsi"/>
                <w:color w:val="000000"/>
                <w:lang w:val="en-GB" w:eastAsia="ru-RU"/>
              </w:rPr>
              <w:t xml:space="preserve"> SPS)</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54,8</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Mykolaivska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Activ</w:t>
            </w:r>
            <w:proofErr w:type="spellEnd"/>
            <w:r w:rsidRPr="00F84C24">
              <w:rPr>
                <w:rFonts w:eastAsia="Times New Roman" w:cstheme="minorHAnsi"/>
                <w:color w:val="000000"/>
                <w:lang w:val="en-GB" w:eastAsia="ru-RU"/>
              </w:rPr>
              <w:t xml:space="preserve"> Solar</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Voznesensk</w:t>
            </w:r>
            <w:proofErr w:type="spellEnd"/>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29,3</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Dnipropetrovska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 xml:space="preserve">Solar Park </w:t>
            </w:r>
            <w:proofErr w:type="spellStart"/>
            <w:r w:rsidRPr="00F84C24">
              <w:rPr>
                <w:rFonts w:eastAsia="Times New Roman" w:cstheme="minorHAnsi"/>
                <w:color w:val="000000"/>
                <w:lang w:val="en-GB" w:eastAsia="ru-RU"/>
              </w:rPr>
              <w:t>Podgornoye</w:t>
            </w:r>
            <w:proofErr w:type="spellEnd"/>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 solar plants)</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1,65</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Khersonska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Solarenergo</w:t>
            </w:r>
            <w:proofErr w:type="spellEnd"/>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Lazurno</w:t>
            </w:r>
            <w:proofErr w:type="spellEnd"/>
            <w:r w:rsidRPr="00F84C24">
              <w:rPr>
                <w:rFonts w:eastAsia="Times New Roman" w:cstheme="minorHAnsi"/>
                <w:color w:val="000000"/>
                <w:lang w:val="en-GB" w:eastAsia="ru-RU"/>
              </w:rPr>
              <w:t xml:space="preserve"> village</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9,8</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Khersonska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Vindkraft</w:t>
            </w:r>
            <w:proofErr w:type="spellEnd"/>
            <w:r w:rsidRPr="00F84C24">
              <w:rPr>
                <w:rFonts w:eastAsia="Times New Roman" w:cstheme="minorHAnsi"/>
                <w:color w:val="000000"/>
                <w:lang w:val="en-GB" w:eastAsia="ru-RU"/>
              </w:rPr>
              <w:t xml:space="preserve"> </w:t>
            </w:r>
            <w:proofErr w:type="spellStart"/>
            <w:r w:rsidRPr="00F84C24">
              <w:rPr>
                <w:rFonts w:eastAsia="Times New Roman" w:cstheme="minorHAnsi"/>
                <w:color w:val="000000"/>
                <w:lang w:val="en-GB" w:eastAsia="ru-RU"/>
              </w:rPr>
              <w:t>Ukraina</w:t>
            </w:r>
            <w:proofErr w:type="spellEnd"/>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Novorossiyska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6</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Zaporizka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 DTEK</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Botiyivska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27</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Zaporizka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Tokmak</w:t>
            </w:r>
            <w:proofErr w:type="spellEnd"/>
            <w:r w:rsidRPr="00F84C24">
              <w:rPr>
                <w:rFonts w:eastAsia="Times New Roman" w:cstheme="minorHAnsi"/>
                <w:color w:val="000000"/>
                <w:lang w:val="en-GB" w:eastAsia="ru-RU"/>
              </w:rPr>
              <w:t xml:space="preserve"> Solar Energy</w:t>
            </w:r>
          </w:p>
        </w:tc>
        <w:tc>
          <w:tcPr>
            <w:tcW w:w="2410" w:type="dxa"/>
            <w:tcBorders>
              <w:top w:val="nil"/>
              <w:left w:val="nil"/>
              <w:bottom w:val="single" w:sz="4" w:space="0" w:color="4F81BD"/>
              <w:right w:val="single" w:sz="4" w:space="0" w:color="4F81BD"/>
            </w:tcBorders>
            <w:shd w:val="clear" w:color="DBE5F1" w:fill="DBE5F1"/>
            <w:noWrap/>
            <w:vAlign w:val="bottom"/>
            <w:hideMark/>
          </w:tcPr>
          <w:p w:rsidR="00F84C24" w:rsidRPr="00F84C24" w:rsidRDefault="00F84C24" w:rsidP="00F84C24">
            <w:pPr>
              <w:spacing w:after="0" w:line="240" w:lineRule="auto"/>
              <w:rPr>
                <w:rFonts w:eastAsia="Times New Roman" w:cstheme="minorHAnsi"/>
                <w:color w:val="000000"/>
                <w:lang w:val="en-GB" w:eastAsia="ru-RU"/>
              </w:rPr>
            </w:pP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2,5</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Donetska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parks of Ukraine</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Bezimenne</w:t>
            </w:r>
            <w:proofErr w:type="spellEnd"/>
            <w:r w:rsidRPr="00F84C24">
              <w:rPr>
                <w:rFonts w:eastAsia="Times New Roman" w:cstheme="minorHAnsi"/>
                <w:color w:val="000000"/>
                <w:lang w:val="en-GB" w:eastAsia="ru-RU"/>
              </w:rPr>
              <w:t xml:space="preserve"> village</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5</w:t>
            </w:r>
          </w:p>
        </w:tc>
      </w:tr>
      <w:tr w:rsidR="00F84C24" w:rsidRPr="00F84C24" w:rsidTr="00F84C24">
        <w:trPr>
          <w:trHeight w:val="7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Luganska</w:t>
            </w:r>
            <w:proofErr w:type="spellEnd"/>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parks of Ukraine</w:t>
            </w:r>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Verhneshyverevka</w:t>
            </w:r>
            <w:proofErr w:type="spellEnd"/>
            <w:r w:rsidRPr="00F84C24">
              <w:rPr>
                <w:rFonts w:eastAsia="Times New Roman" w:cstheme="minorHAnsi"/>
                <w:color w:val="000000"/>
                <w:lang w:val="en-GB" w:eastAsia="ru-RU"/>
              </w:rPr>
              <w:t xml:space="preserve"> village</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25</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Luganska</w:t>
            </w:r>
            <w:proofErr w:type="spellEnd"/>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parks of Ukraine</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Ostaninska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25</w:t>
            </w:r>
          </w:p>
        </w:tc>
      </w:tr>
      <w:tr w:rsidR="00F84C24" w:rsidRPr="00F84C24" w:rsidTr="00F84C24">
        <w:trPr>
          <w:trHeight w:val="7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A938C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 xml:space="preserve">Autonomous Republic </w:t>
            </w:r>
          </w:p>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of Crimea</w:t>
            </w:r>
            <w:r w:rsidRPr="00A938C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Sivashenergoprom</w:t>
            </w:r>
            <w:proofErr w:type="spellEnd"/>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Sivashska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0,6</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A938C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 xml:space="preserve">Autonomous Republic </w:t>
            </w:r>
          </w:p>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of Crimea</w:t>
            </w:r>
            <w:r w:rsidRPr="00A938C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Ministry of Defence of Ukraine</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Tarhankutska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4</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DBE5F1" w:fill="DBE5F1"/>
            <w:hideMark/>
          </w:tcPr>
          <w:p w:rsidR="00F84C24" w:rsidRPr="00A938C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 xml:space="preserve">Autonomous Republic </w:t>
            </w:r>
          </w:p>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of Crimea</w:t>
            </w:r>
            <w:r w:rsidRPr="00A938C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Wind power</w:t>
            </w:r>
          </w:p>
        </w:tc>
        <w:tc>
          <w:tcPr>
            <w:tcW w:w="3969"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VodEnergoRemNaladka</w:t>
            </w:r>
            <w:proofErr w:type="spellEnd"/>
          </w:p>
        </w:tc>
        <w:tc>
          <w:tcPr>
            <w:tcW w:w="2410"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w:t>
            </w:r>
            <w:proofErr w:type="spellStart"/>
            <w:r w:rsidRPr="00F84C24">
              <w:rPr>
                <w:rFonts w:eastAsia="Times New Roman" w:cstheme="minorHAnsi"/>
                <w:color w:val="000000"/>
                <w:lang w:val="en-GB" w:eastAsia="ru-RU"/>
              </w:rPr>
              <w:t>Sakska</w:t>
            </w:r>
            <w:proofErr w:type="spellEnd"/>
            <w:r w:rsidRPr="00F84C24">
              <w:rPr>
                <w:rFonts w:eastAsia="Times New Roman" w:cstheme="minorHAnsi"/>
                <w:color w:val="000000"/>
                <w:lang w:val="en-GB" w:eastAsia="ru-RU"/>
              </w:rPr>
              <w:t xml:space="preserve"> WPS)</w:t>
            </w:r>
          </w:p>
        </w:tc>
        <w:tc>
          <w:tcPr>
            <w:tcW w:w="992" w:type="dxa"/>
            <w:tcBorders>
              <w:top w:val="nil"/>
              <w:left w:val="nil"/>
              <w:bottom w:val="single" w:sz="4" w:space="0" w:color="4F81BD"/>
              <w:right w:val="single" w:sz="4" w:space="0" w:color="4F81BD"/>
            </w:tcBorders>
            <w:shd w:val="clear" w:color="DBE5F1" w:fill="DBE5F1"/>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0,6</w:t>
            </w:r>
          </w:p>
        </w:tc>
      </w:tr>
      <w:tr w:rsidR="00F84C24" w:rsidRPr="00F84C24" w:rsidTr="00F84C24">
        <w:trPr>
          <w:trHeight w:val="300"/>
        </w:trPr>
        <w:tc>
          <w:tcPr>
            <w:tcW w:w="1706" w:type="dxa"/>
            <w:tcBorders>
              <w:top w:val="nil"/>
              <w:left w:val="single" w:sz="4" w:space="0" w:color="4F81BD"/>
              <w:bottom w:val="single" w:sz="4" w:space="0" w:color="4F81BD"/>
              <w:right w:val="single" w:sz="4" w:space="0" w:color="4F81BD"/>
            </w:tcBorders>
            <w:shd w:val="clear" w:color="auto" w:fill="auto"/>
            <w:hideMark/>
          </w:tcPr>
          <w:p w:rsidR="00F84C24" w:rsidRPr="00A938C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 xml:space="preserve">Autonomous Republic </w:t>
            </w:r>
          </w:p>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of Crimea</w:t>
            </w:r>
            <w:r w:rsidRPr="00A938C4">
              <w:rPr>
                <w:rFonts w:eastAsia="Times New Roman" w:cstheme="minorHAnsi"/>
                <w:color w:val="000000"/>
                <w:lang w:val="en-GB" w:eastAsia="ru-RU"/>
              </w:rPr>
              <w:t xml:space="preserve"> **</w:t>
            </w:r>
          </w:p>
        </w:tc>
        <w:tc>
          <w:tcPr>
            <w:tcW w:w="1418"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Solar power</w:t>
            </w:r>
          </w:p>
        </w:tc>
        <w:tc>
          <w:tcPr>
            <w:tcW w:w="3969"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Activ</w:t>
            </w:r>
            <w:proofErr w:type="spellEnd"/>
            <w:r w:rsidRPr="00F84C24">
              <w:rPr>
                <w:rFonts w:eastAsia="Times New Roman" w:cstheme="minorHAnsi"/>
                <w:color w:val="000000"/>
                <w:lang w:val="en-GB" w:eastAsia="ru-RU"/>
              </w:rPr>
              <w:t xml:space="preserve"> Solar</w:t>
            </w:r>
          </w:p>
        </w:tc>
        <w:tc>
          <w:tcPr>
            <w:tcW w:w="2410"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proofErr w:type="spellStart"/>
            <w:r w:rsidRPr="00F84C24">
              <w:rPr>
                <w:rFonts w:eastAsia="Times New Roman" w:cstheme="minorHAnsi"/>
                <w:color w:val="000000"/>
                <w:lang w:val="en-GB" w:eastAsia="ru-RU"/>
              </w:rPr>
              <w:t>Mykolaivka</w:t>
            </w:r>
            <w:proofErr w:type="spellEnd"/>
          </w:p>
        </w:tc>
        <w:tc>
          <w:tcPr>
            <w:tcW w:w="992" w:type="dxa"/>
            <w:tcBorders>
              <w:top w:val="nil"/>
              <w:left w:val="nil"/>
              <w:bottom w:val="single" w:sz="4" w:space="0" w:color="4F81BD"/>
              <w:right w:val="single" w:sz="4" w:space="0" w:color="4F81BD"/>
            </w:tcBorders>
            <w:shd w:val="clear" w:color="auto" w:fill="auto"/>
            <w:hideMark/>
          </w:tcPr>
          <w:p w:rsidR="00F84C24" w:rsidRPr="00F84C24" w:rsidRDefault="00F84C24" w:rsidP="00F84C24">
            <w:pPr>
              <w:spacing w:after="0" w:line="240" w:lineRule="auto"/>
              <w:jc w:val="both"/>
              <w:rPr>
                <w:rFonts w:eastAsia="Times New Roman" w:cstheme="minorHAnsi"/>
                <w:color w:val="000000"/>
                <w:lang w:val="en-GB" w:eastAsia="ru-RU"/>
              </w:rPr>
            </w:pPr>
            <w:r w:rsidRPr="00F84C24">
              <w:rPr>
                <w:rFonts w:eastAsia="Times New Roman" w:cstheme="minorHAnsi"/>
                <w:color w:val="000000"/>
                <w:lang w:val="en-GB" w:eastAsia="ru-RU"/>
              </w:rPr>
              <w:t>69,7</w:t>
            </w:r>
          </w:p>
        </w:tc>
      </w:tr>
    </w:tbl>
    <w:p w:rsidR="009B5338" w:rsidRDefault="009B5338" w:rsidP="00ED475F">
      <w:pPr>
        <w:spacing w:after="0" w:line="240" w:lineRule="auto"/>
        <w:jc w:val="both"/>
        <w:rPr>
          <w:rFonts w:cstheme="minorHAnsi"/>
          <w:color w:val="000000"/>
          <w:shd w:val="clear" w:color="auto" w:fill="FFFFFF"/>
          <w:lang w:val="en-GB"/>
        </w:rPr>
      </w:pPr>
    </w:p>
    <w:p w:rsidR="000A068B" w:rsidRPr="00A938C4" w:rsidRDefault="00D63A98" w:rsidP="00ED475F">
      <w:pPr>
        <w:spacing w:after="0" w:line="240" w:lineRule="auto"/>
        <w:jc w:val="both"/>
        <w:rPr>
          <w:rFonts w:cstheme="minorHAnsi"/>
          <w:color w:val="000000"/>
          <w:shd w:val="clear" w:color="auto" w:fill="FFFFFF"/>
          <w:lang w:val="en-GB"/>
        </w:rPr>
      </w:pPr>
      <w:r w:rsidRPr="00A938C4">
        <w:rPr>
          <w:rFonts w:cstheme="minorHAnsi"/>
          <w:color w:val="000000"/>
          <w:shd w:val="clear" w:color="auto" w:fill="FFFFFF"/>
          <w:lang w:val="en-GB"/>
        </w:rPr>
        <w:t xml:space="preserve">* </w:t>
      </w:r>
      <w:r w:rsidR="00916DD6" w:rsidRPr="00A938C4">
        <w:rPr>
          <w:rFonts w:cstheme="minorHAnsi"/>
          <w:color w:val="000000"/>
          <w:shd w:val="clear" w:color="auto" w:fill="FFFFFF"/>
          <w:lang w:val="en-GB"/>
        </w:rPr>
        <w:t>According</w:t>
      </w:r>
      <w:r w:rsidRPr="00A938C4">
        <w:rPr>
          <w:rFonts w:cstheme="minorHAnsi"/>
          <w:color w:val="000000"/>
          <w:shd w:val="clear" w:color="auto" w:fill="FFFFFF"/>
          <w:lang w:val="en-GB"/>
        </w:rPr>
        <w:t xml:space="preserve"> to the </w:t>
      </w:r>
      <w:proofErr w:type="spellStart"/>
      <w:r w:rsidRPr="00A938C4">
        <w:rPr>
          <w:rFonts w:cstheme="minorHAnsi"/>
          <w:color w:val="000000"/>
          <w:shd w:val="clear" w:color="auto" w:fill="FFFFFF"/>
          <w:lang w:val="en-GB"/>
        </w:rPr>
        <w:t>IBCentre</w:t>
      </w:r>
      <w:proofErr w:type="spellEnd"/>
      <w:r w:rsidRPr="00A938C4">
        <w:rPr>
          <w:rFonts w:cstheme="minorHAnsi"/>
          <w:color w:val="000000"/>
          <w:shd w:val="clear" w:color="auto" w:fill="FFFFFF"/>
          <w:lang w:val="en-GB"/>
        </w:rPr>
        <w:t>, Ukrainian wind</w:t>
      </w:r>
      <w:r w:rsidR="00916DD6" w:rsidRPr="00A938C4">
        <w:rPr>
          <w:rFonts w:cstheme="minorHAnsi"/>
          <w:color w:val="000000"/>
          <w:shd w:val="clear" w:color="auto" w:fill="FFFFFF"/>
          <w:lang w:val="en-GB"/>
        </w:rPr>
        <w:t xml:space="preserve"> </w:t>
      </w:r>
      <w:r w:rsidRPr="00A938C4">
        <w:rPr>
          <w:rFonts w:cstheme="minorHAnsi"/>
          <w:color w:val="000000"/>
          <w:shd w:val="clear" w:color="auto" w:fill="FFFFFF"/>
          <w:lang w:val="en-GB"/>
        </w:rPr>
        <w:t xml:space="preserve">power association </w:t>
      </w:r>
    </w:p>
    <w:p w:rsidR="00A938C4" w:rsidRDefault="00ED475F" w:rsidP="00ED475F">
      <w:pPr>
        <w:spacing w:after="0" w:line="240" w:lineRule="auto"/>
        <w:jc w:val="both"/>
        <w:rPr>
          <w:rFonts w:cstheme="minorHAnsi"/>
          <w:color w:val="000000"/>
          <w:shd w:val="clear" w:color="auto" w:fill="FFFFFF"/>
          <w:lang w:val="en-GB"/>
        </w:rPr>
      </w:pPr>
      <w:r w:rsidRPr="00A938C4">
        <w:rPr>
          <w:rFonts w:cstheme="minorHAnsi"/>
          <w:color w:val="000000"/>
          <w:shd w:val="clear" w:color="auto" w:fill="FFFFFF"/>
          <w:lang w:val="en-GB"/>
        </w:rPr>
        <w:t xml:space="preserve">** Territories occupied by </w:t>
      </w:r>
      <w:r w:rsidR="00F84C24" w:rsidRPr="00A938C4">
        <w:rPr>
          <w:rFonts w:cstheme="minorHAnsi"/>
          <w:color w:val="000000"/>
          <w:shd w:val="clear" w:color="auto" w:fill="FFFFFF"/>
          <w:lang w:val="en-GB"/>
        </w:rPr>
        <w:t>Russian</w:t>
      </w:r>
      <w:r w:rsidRPr="00A938C4">
        <w:rPr>
          <w:rFonts w:cstheme="minorHAnsi"/>
          <w:color w:val="000000"/>
          <w:shd w:val="clear" w:color="auto" w:fill="FFFFFF"/>
          <w:lang w:val="en-GB"/>
        </w:rPr>
        <w:t xml:space="preserve"> military forces</w:t>
      </w:r>
    </w:p>
    <w:p w:rsidR="00CF0C79" w:rsidRDefault="00CF0C79" w:rsidP="00ED475F">
      <w:pPr>
        <w:spacing w:after="0" w:line="240" w:lineRule="auto"/>
        <w:jc w:val="both"/>
        <w:rPr>
          <w:rFonts w:cstheme="minorHAnsi"/>
          <w:color w:val="000000"/>
          <w:shd w:val="clear" w:color="auto" w:fill="FFFFFF"/>
          <w:lang w:val="en-GB"/>
        </w:rPr>
      </w:pPr>
    </w:p>
    <w:p w:rsidR="00CF0C79" w:rsidRPr="00CF0C79" w:rsidRDefault="00CF0C79" w:rsidP="00270E30">
      <w:pPr>
        <w:spacing w:after="0"/>
        <w:jc w:val="both"/>
        <w:rPr>
          <w:rFonts w:cstheme="minorHAnsi"/>
          <w:color w:val="000000"/>
          <w:shd w:val="clear" w:color="auto" w:fill="FFFFFF"/>
          <w:lang w:val="en-GB"/>
        </w:rPr>
      </w:pPr>
      <w:r>
        <w:rPr>
          <w:rFonts w:cstheme="minorHAnsi"/>
          <w:color w:val="000000"/>
          <w:shd w:val="clear" w:color="auto" w:fill="FFFFFF"/>
          <w:lang w:val="en-GB"/>
        </w:rPr>
        <w:tab/>
        <w:t xml:space="preserve">As </w:t>
      </w:r>
      <w:r w:rsidR="00270E30">
        <w:rPr>
          <w:rFonts w:cstheme="minorHAnsi"/>
          <w:color w:val="000000"/>
          <w:shd w:val="clear" w:color="auto" w:fill="FFFFFF"/>
          <w:lang w:val="en-GB"/>
        </w:rPr>
        <w:t>of September 1,</w:t>
      </w:r>
      <w:r>
        <w:rPr>
          <w:rFonts w:cstheme="minorHAnsi"/>
          <w:color w:val="000000"/>
          <w:shd w:val="clear" w:color="auto" w:fill="FFFFFF"/>
          <w:lang w:val="en-GB"/>
        </w:rPr>
        <w:t xml:space="preserve"> 2012, there were 26 solar power stations in Ukraine (15 in Crimea, 2 in </w:t>
      </w:r>
      <w:proofErr w:type="spellStart"/>
      <w:r>
        <w:rPr>
          <w:rFonts w:cstheme="minorHAnsi"/>
          <w:color w:val="000000"/>
          <w:shd w:val="clear" w:color="auto" w:fill="FFFFFF"/>
          <w:lang w:val="en-GB"/>
        </w:rPr>
        <w:t>Odeska</w:t>
      </w:r>
      <w:proofErr w:type="spellEnd"/>
      <w:r>
        <w:rPr>
          <w:rFonts w:cstheme="minorHAnsi"/>
          <w:color w:val="000000"/>
          <w:shd w:val="clear" w:color="auto" w:fill="FFFFFF"/>
          <w:lang w:val="en-GB"/>
        </w:rPr>
        <w:t xml:space="preserve"> oblast, 5 in </w:t>
      </w:r>
      <w:proofErr w:type="spellStart"/>
      <w:r>
        <w:rPr>
          <w:rFonts w:cstheme="minorHAnsi"/>
          <w:color w:val="000000"/>
          <w:shd w:val="clear" w:color="auto" w:fill="FFFFFF"/>
          <w:lang w:val="en-GB"/>
        </w:rPr>
        <w:t>Vinnytska</w:t>
      </w:r>
      <w:proofErr w:type="spellEnd"/>
      <w:r>
        <w:rPr>
          <w:rFonts w:cstheme="minorHAnsi"/>
          <w:color w:val="000000"/>
          <w:shd w:val="clear" w:color="auto" w:fill="FFFFFF"/>
          <w:lang w:val="en-GB"/>
        </w:rPr>
        <w:t xml:space="preserve"> oblast, and </w:t>
      </w:r>
      <w:proofErr w:type="spellStart"/>
      <w:r>
        <w:rPr>
          <w:rFonts w:cstheme="minorHAnsi"/>
          <w:color w:val="000000"/>
          <w:shd w:val="clear" w:color="auto" w:fill="FFFFFF"/>
          <w:lang w:val="en-GB"/>
        </w:rPr>
        <w:t>Zakarpatska</w:t>
      </w:r>
      <w:proofErr w:type="spellEnd"/>
      <w:r>
        <w:rPr>
          <w:rFonts w:cstheme="minorHAnsi"/>
          <w:color w:val="000000"/>
          <w:shd w:val="clear" w:color="auto" w:fill="FFFFFF"/>
          <w:lang w:val="en-GB"/>
        </w:rPr>
        <w:t xml:space="preserve">, </w:t>
      </w:r>
      <w:proofErr w:type="spellStart"/>
      <w:r>
        <w:rPr>
          <w:rFonts w:cstheme="minorHAnsi"/>
          <w:color w:val="000000"/>
          <w:shd w:val="clear" w:color="auto" w:fill="FFFFFF"/>
          <w:lang w:val="en-GB"/>
        </w:rPr>
        <w:t>Dnipropetrovska</w:t>
      </w:r>
      <w:proofErr w:type="spellEnd"/>
      <w:r>
        <w:rPr>
          <w:rFonts w:cstheme="minorHAnsi"/>
          <w:color w:val="000000"/>
          <w:shd w:val="clear" w:color="auto" w:fill="FFFFFF"/>
          <w:lang w:val="en-GB"/>
        </w:rPr>
        <w:t xml:space="preserve">, </w:t>
      </w:r>
      <w:proofErr w:type="spellStart"/>
      <w:r>
        <w:rPr>
          <w:rFonts w:cstheme="minorHAnsi"/>
          <w:color w:val="000000"/>
          <w:shd w:val="clear" w:color="auto" w:fill="FFFFFF"/>
          <w:lang w:val="en-GB"/>
        </w:rPr>
        <w:t>Cherkaska</w:t>
      </w:r>
      <w:proofErr w:type="spellEnd"/>
      <w:r>
        <w:rPr>
          <w:rFonts w:cstheme="minorHAnsi"/>
          <w:color w:val="000000"/>
          <w:shd w:val="clear" w:color="auto" w:fill="FFFFFF"/>
          <w:lang w:val="en-GB"/>
        </w:rPr>
        <w:t xml:space="preserve"> and </w:t>
      </w:r>
      <w:proofErr w:type="spellStart"/>
      <w:r>
        <w:rPr>
          <w:rFonts w:cstheme="minorHAnsi"/>
          <w:color w:val="000000"/>
          <w:shd w:val="clear" w:color="auto" w:fill="FFFFFF"/>
          <w:lang w:val="en-GB"/>
        </w:rPr>
        <w:t>Luganska</w:t>
      </w:r>
      <w:proofErr w:type="spellEnd"/>
      <w:r>
        <w:rPr>
          <w:rFonts w:cstheme="minorHAnsi"/>
          <w:color w:val="000000"/>
          <w:shd w:val="clear" w:color="auto" w:fill="FFFFFF"/>
          <w:lang w:val="en-GB"/>
        </w:rPr>
        <w:t xml:space="preserve"> oblast have 1 station each); 11 wind power stations (5 in Crimea, 2 in </w:t>
      </w:r>
      <w:proofErr w:type="spellStart"/>
      <w:r>
        <w:rPr>
          <w:rFonts w:cstheme="minorHAnsi"/>
          <w:color w:val="000000"/>
          <w:shd w:val="clear" w:color="auto" w:fill="FFFFFF"/>
          <w:lang w:val="en-GB"/>
        </w:rPr>
        <w:t>Khersonska</w:t>
      </w:r>
      <w:proofErr w:type="spellEnd"/>
      <w:r>
        <w:rPr>
          <w:rFonts w:cstheme="minorHAnsi"/>
          <w:color w:val="000000"/>
          <w:shd w:val="clear" w:color="auto" w:fill="FFFFFF"/>
          <w:lang w:val="en-GB"/>
        </w:rPr>
        <w:t xml:space="preserve"> oblast, 2 in </w:t>
      </w:r>
      <w:proofErr w:type="spellStart"/>
      <w:r>
        <w:rPr>
          <w:rFonts w:cstheme="minorHAnsi"/>
          <w:color w:val="000000"/>
          <w:shd w:val="clear" w:color="auto" w:fill="FFFFFF"/>
          <w:lang w:val="en-GB"/>
        </w:rPr>
        <w:t>Donetska</w:t>
      </w:r>
      <w:proofErr w:type="spellEnd"/>
      <w:r>
        <w:rPr>
          <w:rFonts w:cstheme="minorHAnsi"/>
          <w:color w:val="000000"/>
          <w:shd w:val="clear" w:color="auto" w:fill="FFFFFF"/>
          <w:lang w:val="en-GB"/>
        </w:rPr>
        <w:t xml:space="preserve"> oblast, </w:t>
      </w:r>
      <w:r w:rsidR="000D79A4">
        <w:rPr>
          <w:rFonts w:cstheme="minorHAnsi"/>
          <w:color w:val="000000"/>
          <w:shd w:val="clear" w:color="auto" w:fill="FFFFFF"/>
          <w:lang w:val="en-GB"/>
        </w:rPr>
        <w:t xml:space="preserve">and </w:t>
      </w:r>
      <w:proofErr w:type="spellStart"/>
      <w:r w:rsidR="000D79A4">
        <w:rPr>
          <w:rFonts w:cstheme="minorHAnsi"/>
          <w:color w:val="000000"/>
          <w:shd w:val="clear" w:color="auto" w:fill="FFFFFF"/>
          <w:lang w:val="en-GB"/>
        </w:rPr>
        <w:t>Lvivska</w:t>
      </w:r>
      <w:proofErr w:type="spellEnd"/>
      <w:r w:rsidR="000D79A4">
        <w:rPr>
          <w:rFonts w:cstheme="minorHAnsi"/>
          <w:color w:val="000000"/>
          <w:shd w:val="clear" w:color="auto" w:fill="FFFFFF"/>
          <w:lang w:val="en-GB"/>
        </w:rPr>
        <w:t xml:space="preserve"> and </w:t>
      </w:r>
      <w:proofErr w:type="spellStart"/>
      <w:r w:rsidR="000D79A4">
        <w:rPr>
          <w:rFonts w:cstheme="minorHAnsi"/>
          <w:color w:val="000000"/>
          <w:shd w:val="clear" w:color="auto" w:fill="FFFFFF"/>
          <w:lang w:val="en-GB"/>
        </w:rPr>
        <w:t>Mykolaivska</w:t>
      </w:r>
      <w:proofErr w:type="spellEnd"/>
      <w:r w:rsidR="000D79A4">
        <w:rPr>
          <w:rFonts w:cstheme="minorHAnsi"/>
          <w:color w:val="000000"/>
          <w:shd w:val="clear" w:color="auto" w:fill="FFFFFF"/>
          <w:lang w:val="en-GB"/>
        </w:rPr>
        <w:t xml:space="preserve"> oblast have 1 station each); 10 biomass and biogas plants (4 in </w:t>
      </w:r>
      <w:proofErr w:type="spellStart"/>
      <w:r w:rsidR="000D79A4">
        <w:rPr>
          <w:rFonts w:cstheme="minorHAnsi"/>
          <w:color w:val="000000"/>
          <w:shd w:val="clear" w:color="auto" w:fill="FFFFFF"/>
          <w:lang w:val="en-GB"/>
        </w:rPr>
        <w:t>Kyivska</w:t>
      </w:r>
      <w:proofErr w:type="spellEnd"/>
      <w:r w:rsidR="000D79A4">
        <w:rPr>
          <w:rFonts w:cstheme="minorHAnsi"/>
          <w:color w:val="000000"/>
          <w:shd w:val="clear" w:color="auto" w:fill="FFFFFF"/>
          <w:lang w:val="en-GB"/>
        </w:rPr>
        <w:t xml:space="preserve"> oblast, 2 in </w:t>
      </w:r>
      <w:proofErr w:type="spellStart"/>
      <w:r w:rsidR="000D79A4">
        <w:rPr>
          <w:rFonts w:cstheme="minorHAnsi"/>
          <w:color w:val="000000"/>
          <w:shd w:val="clear" w:color="auto" w:fill="FFFFFF"/>
          <w:lang w:val="en-GB"/>
        </w:rPr>
        <w:t>Donetska</w:t>
      </w:r>
      <w:proofErr w:type="spellEnd"/>
      <w:r w:rsidR="000D79A4">
        <w:rPr>
          <w:rFonts w:cstheme="minorHAnsi"/>
          <w:color w:val="000000"/>
          <w:shd w:val="clear" w:color="auto" w:fill="FFFFFF"/>
          <w:lang w:val="en-GB"/>
        </w:rPr>
        <w:t xml:space="preserve"> oblast, and </w:t>
      </w:r>
      <w:proofErr w:type="spellStart"/>
      <w:r w:rsidR="000D79A4">
        <w:rPr>
          <w:rFonts w:cstheme="minorHAnsi"/>
          <w:color w:val="000000"/>
          <w:shd w:val="clear" w:color="auto" w:fill="FFFFFF"/>
          <w:lang w:val="en-GB"/>
        </w:rPr>
        <w:t>Lvivska</w:t>
      </w:r>
      <w:proofErr w:type="spellEnd"/>
      <w:r w:rsidR="000D79A4">
        <w:rPr>
          <w:rFonts w:cstheme="minorHAnsi"/>
          <w:color w:val="000000"/>
          <w:shd w:val="clear" w:color="auto" w:fill="FFFFFF"/>
          <w:lang w:val="en-GB"/>
        </w:rPr>
        <w:t xml:space="preserve">, </w:t>
      </w:r>
      <w:proofErr w:type="spellStart"/>
      <w:r w:rsidR="000D79A4">
        <w:rPr>
          <w:rFonts w:cstheme="minorHAnsi"/>
          <w:color w:val="000000"/>
          <w:shd w:val="clear" w:color="auto" w:fill="FFFFFF"/>
          <w:lang w:val="en-GB"/>
        </w:rPr>
        <w:t>Ternopilska</w:t>
      </w:r>
      <w:proofErr w:type="spellEnd"/>
      <w:r w:rsidR="000D79A4">
        <w:rPr>
          <w:rFonts w:cstheme="minorHAnsi"/>
          <w:color w:val="000000"/>
          <w:shd w:val="clear" w:color="auto" w:fill="FFFFFF"/>
          <w:lang w:val="en-GB"/>
        </w:rPr>
        <w:t xml:space="preserve">, </w:t>
      </w:r>
      <w:proofErr w:type="spellStart"/>
      <w:r w:rsidR="000D79A4">
        <w:rPr>
          <w:rFonts w:cstheme="minorHAnsi"/>
          <w:color w:val="000000"/>
          <w:shd w:val="clear" w:color="auto" w:fill="FFFFFF"/>
          <w:lang w:val="en-GB"/>
        </w:rPr>
        <w:t>Kirovogradska</w:t>
      </w:r>
      <w:proofErr w:type="spellEnd"/>
      <w:r w:rsidR="000D79A4">
        <w:rPr>
          <w:rFonts w:cstheme="minorHAnsi"/>
          <w:color w:val="000000"/>
          <w:shd w:val="clear" w:color="auto" w:fill="FFFFFF"/>
          <w:lang w:val="en-GB"/>
        </w:rPr>
        <w:t xml:space="preserve">, </w:t>
      </w:r>
      <w:proofErr w:type="spellStart"/>
      <w:r w:rsidR="000D79A4">
        <w:rPr>
          <w:rFonts w:cstheme="minorHAnsi"/>
          <w:color w:val="000000"/>
          <w:shd w:val="clear" w:color="auto" w:fill="FFFFFF"/>
          <w:lang w:val="en-GB"/>
        </w:rPr>
        <w:t>Cherkaska</w:t>
      </w:r>
      <w:proofErr w:type="spellEnd"/>
      <w:r w:rsidR="00270E30">
        <w:rPr>
          <w:rFonts w:cstheme="minorHAnsi"/>
          <w:color w:val="000000"/>
          <w:shd w:val="clear" w:color="auto" w:fill="FFFFFF"/>
          <w:lang w:val="en-GB"/>
        </w:rPr>
        <w:t xml:space="preserve"> have 1 station each); and</w:t>
      </w:r>
      <w:r w:rsidR="000D79A4">
        <w:rPr>
          <w:rFonts w:cstheme="minorHAnsi"/>
          <w:color w:val="000000"/>
          <w:shd w:val="clear" w:color="auto" w:fill="FFFFFF"/>
          <w:lang w:val="en-GB"/>
        </w:rPr>
        <w:t xml:space="preserve"> </w:t>
      </w:r>
      <w:r w:rsidR="00270E30">
        <w:rPr>
          <w:rFonts w:cstheme="minorHAnsi"/>
          <w:color w:val="000000"/>
          <w:shd w:val="clear" w:color="auto" w:fill="FFFFFF"/>
          <w:lang w:val="en-GB"/>
        </w:rPr>
        <w:t xml:space="preserve">77 </w:t>
      </w:r>
      <w:r w:rsidR="000D79A4">
        <w:rPr>
          <w:rFonts w:cstheme="minorHAnsi"/>
          <w:color w:val="000000"/>
          <w:shd w:val="clear" w:color="auto" w:fill="FFFFFF"/>
          <w:lang w:val="en-GB"/>
        </w:rPr>
        <w:t>small hydro electric power stations</w:t>
      </w:r>
      <w:r w:rsidR="00270E30">
        <w:rPr>
          <w:rFonts w:cstheme="minorHAnsi"/>
          <w:color w:val="000000"/>
          <w:shd w:val="clear" w:color="auto" w:fill="FFFFFF"/>
          <w:lang w:val="en-GB"/>
        </w:rPr>
        <w:t xml:space="preserve"> across different regions (oblast) of Ukraine.</w:t>
      </w:r>
    </w:p>
    <w:p w:rsidR="00F84C24" w:rsidRDefault="00F84C24" w:rsidP="00ED475F">
      <w:pPr>
        <w:spacing w:after="0" w:line="240" w:lineRule="auto"/>
        <w:jc w:val="both"/>
        <w:rPr>
          <w:rFonts w:ascii="Trebuchet MS" w:hAnsi="Trebuchet MS"/>
          <w:color w:val="000000"/>
          <w:sz w:val="20"/>
          <w:szCs w:val="20"/>
          <w:shd w:val="clear" w:color="auto" w:fill="FFFFFF"/>
          <w:lang w:val="en-GB"/>
        </w:rPr>
      </w:pPr>
    </w:p>
    <w:p w:rsidR="00D63A98" w:rsidRDefault="006A4F20" w:rsidP="00DC54FB">
      <w:pPr>
        <w:spacing w:after="0"/>
        <w:jc w:val="both"/>
        <w:rPr>
          <w:b/>
          <w:noProof/>
          <w:lang w:val="en-GB" w:eastAsia="ru-RU"/>
        </w:rPr>
      </w:pPr>
      <w:r w:rsidRPr="006A4F20">
        <w:rPr>
          <w:b/>
          <w:noProof/>
          <w:lang w:val="en-GB" w:eastAsia="ru-RU"/>
        </w:rPr>
        <w:t xml:space="preserve">Figure </w:t>
      </w:r>
      <w:r>
        <w:rPr>
          <w:b/>
          <w:noProof/>
          <w:lang w:val="en-GB" w:eastAsia="ru-RU"/>
        </w:rPr>
        <w:t>2</w:t>
      </w:r>
    </w:p>
    <w:p w:rsidR="00C5291A" w:rsidRPr="006A4F20" w:rsidRDefault="00C5291A" w:rsidP="00DC54FB">
      <w:pPr>
        <w:spacing w:after="0"/>
        <w:jc w:val="center"/>
        <w:rPr>
          <w:b/>
          <w:noProof/>
          <w:lang w:val="en-GB" w:eastAsia="ru-RU"/>
        </w:rPr>
      </w:pPr>
      <w:r>
        <w:rPr>
          <w:b/>
          <w:noProof/>
          <w:lang w:val="en-GB" w:eastAsia="ru-RU"/>
        </w:rPr>
        <w:t>Map of Ukraine</w:t>
      </w:r>
    </w:p>
    <w:p w:rsidR="00D63A98" w:rsidRDefault="00916DD6" w:rsidP="00875141">
      <w:pPr>
        <w:jc w:val="center"/>
        <w:rPr>
          <w:rFonts w:ascii="Trebuchet MS" w:hAnsi="Trebuchet MS"/>
          <w:color w:val="000000"/>
          <w:sz w:val="20"/>
          <w:szCs w:val="20"/>
          <w:shd w:val="clear" w:color="auto" w:fill="FFFFFF"/>
          <w:lang w:val="en-US"/>
        </w:rPr>
      </w:pPr>
      <w:r>
        <w:rPr>
          <w:rFonts w:ascii="Trebuchet MS" w:hAnsi="Trebuchet MS"/>
          <w:noProof/>
          <w:color w:val="000000"/>
          <w:sz w:val="20"/>
          <w:szCs w:val="20"/>
          <w:shd w:val="clear" w:color="auto" w:fill="FFFFFF"/>
        </w:rPr>
        <w:drawing>
          <wp:inline distT="0" distB="0" distL="0" distR="0">
            <wp:extent cx="6562725" cy="4631288"/>
            <wp:effectExtent l="19050" t="0" r="9525" b="0"/>
            <wp:docPr id="4" name="Рисунок 3" descr="C:\Users\User_3\Desktop\Map_of_Ukraine_political_simple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3\Desktop\Map_of_Ukraine_political_simple_blank.jpg"/>
                    <pic:cNvPicPr>
                      <a:picLocks noChangeAspect="1" noChangeArrowheads="1"/>
                    </pic:cNvPicPr>
                  </pic:nvPicPr>
                  <pic:blipFill>
                    <a:blip r:embed="rId41" cstate="print"/>
                    <a:srcRect/>
                    <a:stretch>
                      <a:fillRect/>
                    </a:stretch>
                  </pic:blipFill>
                  <pic:spPr bwMode="auto">
                    <a:xfrm>
                      <a:off x="0" y="0"/>
                      <a:ext cx="6570645" cy="4636877"/>
                    </a:xfrm>
                    <a:prstGeom prst="rect">
                      <a:avLst/>
                    </a:prstGeom>
                    <a:noFill/>
                    <a:ln w="9525">
                      <a:noFill/>
                      <a:miter lim="800000"/>
                      <a:headEnd/>
                      <a:tailEnd/>
                    </a:ln>
                  </pic:spPr>
                </pic:pic>
              </a:graphicData>
            </a:graphic>
          </wp:inline>
        </w:drawing>
      </w:r>
    </w:p>
    <w:p w:rsidR="00875141" w:rsidRPr="00875141" w:rsidRDefault="00875141" w:rsidP="00DC54FB">
      <w:pPr>
        <w:spacing w:after="0"/>
        <w:jc w:val="both"/>
        <w:rPr>
          <w:rFonts w:ascii="Trebuchet MS" w:hAnsi="Trebuchet MS"/>
          <w:b/>
          <w:color w:val="000000"/>
          <w:sz w:val="20"/>
          <w:szCs w:val="20"/>
          <w:shd w:val="clear" w:color="auto" w:fill="FFFFFF"/>
          <w:lang w:val="en-US"/>
        </w:rPr>
      </w:pPr>
      <w:r w:rsidRPr="00875141">
        <w:rPr>
          <w:rFonts w:ascii="Trebuchet MS" w:hAnsi="Trebuchet MS"/>
          <w:b/>
          <w:color w:val="000000"/>
          <w:sz w:val="20"/>
          <w:szCs w:val="20"/>
          <w:shd w:val="clear" w:color="auto" w:fill="FFFFFF"/>
          <w:lang w:val="en-US"/>
        </w:rPr>
        <w:t xml:space="preserve">Figure </w:t>
      </w:r>
      <w:r w:rsidR="00DC54FB">
        <w:rPr>
          <w:rFonts w:ascii="Trebuchet MS" w:hAnsi="Trebuchet MS"/>
          <w:b/>
          <w:color w:val="000000"/>
          <w:sz w:val="20"/>
          <w:szCs w:val="20"/>
          <w:shd w:val="clear" w:color="auto" w:fill="FFFFFF"/>
          <w:lang w:val="en-US"/>
        </w:rPr>
        <w:t>3</w:t>
      </w:r>
    </w:p>
    <w:p w:rsidR="00DC54FB" w:rsidRDefault="00875141" w:rsidP="00DC54FB">
      <w:pPr>
        <w:spacing w:after="0"/>
        <w:jc w:val="center"/>
        <w:rPr>
          <w:rFonts w:ascii="Trebuchet MS" w:hAnsi="Trebuchet MS"/>
          <w:color w:val="000000"/>
          <w:sz w:val="20"/>
          <w:szCs w:val="20"/>
          <w:shd w:val="clear" w:color="auto" w:fill="FFFFFF"/>
          <w:lang w:val="en-US"/>
        </w:rPr>
      </w:pPr>
      <w:r w:rsidRPr="00875141">
        <w:rPr>
          <w:rFonts w:ascii="Trebuchet MS" w:hAnsi="Trebuchet MS"/>
          <w:noProof/>
          <w:color w:val="000000"/>
          <w:sz w:val="20"/>
          <w:szCs w:val="20"/>
          <w:shd w:val="clear" w:color="auto" w:fill="FFFFFF"/>
        </w:rPr>
        <w:drawing>
          <wp:inline distT="0" distB="0" distL="0" distR="0">
            <wp:extent cx="5809690" cy="3120559"/>
            <wp:effectExtent l="19050" t="0" r="19610" b="3641"/>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C54FB" w:rsidRDefault="00DC54FB" w:rsidP="00DC54FB">
      <w:pPr>
        <w:tabs>
          <w:tab w:val="left" w:pos="900"/>
        </w:tabs>
        <w:spacing w:after="0"/>
        <w:jc w:val="both"/>
        <w:rPr>
          <w:rFonts w:cstheme="minorHAnsi"/>
          <w:color w:val="000000"/>
          <w:szCs w:val="20"/>
          <w:shd w:val="clear" w:color="auto" w:fill="FFFFFF"/>
          <w:lang w:val="en-US"/>
        </w:rPr>
      </w:pPr>
      <w:r w:rsidRPr="00A649A4">
        <w:rPr>
          <w:rFonts w:cstheme="minorHAnsi"/>
          <w:color w:val="000000"/>
          <w:szCs w:val="20"/>
          <w:shd w:val="clear" w:color="auto" w:fill="FFFFFF"/>
          <w:lang w:val="en-US"/>
        </w:rPr>
        <w:t>*According to the State Statistic Service of Ukraine</w:t>
      </w:r>
    </w:p>
    <w:p w:rsidR="00DC54FB" w:rsidRDefault="00DC54FB" w:rsidP="00DC54FB">
      <w:pPr>
        <w:rPr>
          <w:rFonts w:ascii="Trebuchet MS" w:hAnsi="Trebuchet MS"/>
          <w:b/>
          <w:sz w:val="20"/>
          <w:szCs w:val="20"/>
          <w:lang w:val="en-US"/>
        </w:rPr>
      </w:pPr>
    </w:p>
    <w:p w:rsidR="00DC54FB" w:rsidRDefault="00DC54FB" w:rsidP="00DC54FB">
      <w:pPr>
        <w:rPr>
          <w:rFonts w:ascii="Trebuchet MS" w:hAnsi="Trebuchet MS"/>
          <w:b/>
          <w:sz w:val="20"/>
          <w:szCs w:val="20"/>
          <w:lang w:val="en-US"/>
        </w:rPr>
      </w:pPr>
    </w:p>
    <w:p w:rsidR="00DC54FB" w:rsidRDefault="00DC54FB" w:rsidP="00DC54FB">
      <w:pPr>
        <w:rPr>
          <w:rFonts w:ascii="Trebuchet MS" w:hAnsi="Trebuchet MS"/>
          <w:b/>
          <w:sz w:val="20"/>
          <w:szCs w:val="20"/>
          <w:lang w:val="en-US"/>
        </w:rPr>
      </w:pPr>
    </w:p>
    <w:p w:rsidR="00D63A98" w:rsidRPr="00DC54FB" w:rsidRDefault="00DC54FB" w:rsidP="00DC54FB">
      <w:pPr>
        <w:spacing w:after="0"/>
        <w:rPr>
          <w:rFonts w:ascii="Trebuchet MS" w:hAnsi="Trebuchet MS"/>
          <w:b/>
          <w:sz w:val="20"/>
          <w:szCs w:val="20"/>
          <w:lang w:val="en-US"/>
        </w:rPr>
      </w:pPr>
      <w:r w:rsidRPr="00DC54FB">
        <w:rPr>
          <w:rFonts w:ascii="Trebuchet MS" w:hAnsi="Trebuchet MS"/>
          <w:b/>
          <w:sz w:val="20"/>
          <w:szCs w:val="20"/>
          <w:lang w:val="en-US"/>
        </w:rPr>
        <w:t xml:space="preserve">Figure </w:t>
      </w:r>
      <w:r>
        <w:rPr>
          <w:rFonts w:ascii="Trebuchet MS" w:hAnsi="Trebuchet MS"/>
          <w:b/>
          <w:sz w:val="20"/>
          <w:szCs w:val="20"/>
          <w:lang w:val="en-US"/>
        </w:rPr>
        <w:t>4</w:t>
      </w:r>
    </w:p>
    <w:p w:rsidR="00D63A98" w:rsidRDefault="00DC54FB" w:rsidP="00DC54FB">
      <w:pPr>
        <w:spacing w:after="0"/>
        <w:jc w:val="center"/>
        <w:rPr>
          <w:rFonts w:ascii="Trebuchet MS" w:hAnsi="Trebuchet MS"/>
          <w:color w:val="000000"/>
          <w:sz w:val="20"/>
          <w:szCs w:val="20"/>
          <w:shd w:val="clear" w:color="auto" w:fill="FFFFFF"/>
          <w:lang w:val="en-US"/>
        </w:rPr>
      </w:pPr>
      <w:r w:rsidRPr="00DC54FB">
        <w:rPr>
          <w:rFonts w:ascii="Trebuchet MS" w:hAnsi="Trebuchet MS"/>
          <w:noProof/>
          <w:color w:val="000000"/>
          <w:sz w:val="20"/>
          <w:szCs w:val="20"/>
          <w:shd w:val="clear" w:color="auto" w:fill="FFFFFF"/>
        </w:rPr>
        <w:drawing>
          <wp:inline distT="0" distB="0" distL="0" distR="0">
            <wp:extent cx="6153150" cy="33718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C54FB" w:rsidRPr="00DC54FB" w:rsidRDefault="00DC54FB" w:rsidP="00DC54FB">
      <w:pPr>
        <w:spacing w:after="0"/>
        <w:rPr>
          <w:rFonts w:cstheme="minorHAnsi"/>
          <w:color w:val="000000"/>
          <w:szCs w:val="20"/>
          <w:shd w:val="clear" w:color="auto" w:fill="FFFFFF"/>
          <w:lang w:val="en-US"/>
        </w:rPr>
      </w:pPr>
      <w:r>
        <w:rPr>
          <w:rFonts w:cstheme="minorHAnsi"/>
          <w:color w:val="000000"/>
          <w:szCs w:val="20"/>
          <w:shd w:val="clear" w:color="auto" w:fill="FFFFFF"/>
          <w:lang w:val="en-US"/>
        </w:rPr>
        <w:t>* Including Crimea</w:t>
      </w:r>
    </w:p>
    <w:p w:rsidR="00DC54FB" w:rsidRDefault="00DC54FB" w:rsidP="00DC54FB">
      <w:pPr>
        <w:spacing w:after="0"/>
        <w:rPr>
          <w:rFonts w:ascii="Trebuchet MS" w:hAnsi="Trebuchet MS"/>
          <w:b/>
          <w:sz w:val="20"/>
          <w:szCs w:val="20"/>
          <w:lang w:val="en-US"/>
        </w:rPr>
      </w:pPr>
    </w:p>
    <w:p w:rsidR="00DC54FB" w:rsidRPr="00DC54FB" w:rsidRDefault="00DC54FB" w:rsidP="00DC54FB">
      <w:pPr>
        <w:spacing w:after="0"/>
        <w:rPr>
          <w:rFonts w:ascii="Trebuchet MS" w:hAnsi="Trebuchet MS"/>
          <w:b/>
          <w:sz w:val="20"/>
          <w:szCs w:val="20"/>
          <w:lang w:val="en-US"/>
        </w:rPr>
      </w:pPr>
      <w:r w:rsidRPr="00DC54FB">
        <w:rPr>
          <w:rFonts w:ascii="Trebuchet MS" w:hAnsi="Trebuchet MS"/>
          <w:b/>
          <w:sz w:val="20"/>
          <w:szCs w:val="20"/>
          <w:lang w:val="en-US"/>
        </w:rPr>
        <w:t xml:space="preserve">Figure </w:t>
      </w:r>
      <w:r>
        <w:rPr>
          <w:rFonts w:ascii="Trebuchet MS" w:hAnsi="Trebuchet MS"/>
          <w:b/>
          <w:sz w:val="20"/>
          <w:szCs w:val="20"/>
          <w:lang w:val="en-US"/>
        </w:rPr>
        <w:t>5</w:t>
      </w:r>
    </w:p>
    <w:p w:rsidR="00DC54FB" w:rsidRDefault="00DC54FB" w:rsidP="00DC54FB">
      <w:pPr>
        <w:spacing w:after="0"/>
        <w:jc w:val="center"/>
        <w:rPr>
          <w:rFonts w:cstheme="minorHAnsi"/>
          <w:color w:val="000000"/>
          <w:szCs w:val="20"/>
          <w:shd w:val="clear" w:color="auto" w:fill="FFFFFF"/>
          <w:lang w:val="en-US"/>
        </w:rPr>
      </w:pPr>
      <w:r w:rsidRPr="00DC54FB">
        <w:rPr>
          <w:rFonts w:cstheme="minorHAnsi"/>
          <w:noProof/>
          <w:color w:val="000000"/>
          <w:szCs w:val="20"/>
          <w:shd w:val="clear" w:color="auto" w:fill="FFFFFF"/>
        </w:rPr>
        <w:drawing>
          <wp:inline distT="0" distB="0" distL="0" distR="0">
            <wp:extent cx="5334000" cy="2581275"/>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C54FB" w:rsidRDefault="00DC54FB" w:rsidP="00DC54FB">
      <w:pPr>
        <w:spacing w:after="0"/>
        <w:rPr>
          <w:rFonts w:ascii="Trebuchet MS" w:hAnsi="Trebuchet MS"/>
          <w:b/>
          <w:sz w:val="20"/>
          <w:szCs w:val="20"/>
          <w:lang w:val="en-US"/>
        </w:rPr>
      </w:pPr>
    </w:p>
    <w:p w:rsidR="00DC54FB" w:rsidRPr="00DC54FB" w:rsidRDefault="00DC54FB" w:rsidP="00DC54FB">
      <w:pPr>
        <w:spacing w:after="0"/>
        <w:rPr>
          <w:rFonts w:ascii="Trebuchet MS" w:hAnsi="Trebuchet MS"/>
          <w:b/>
          <w:sz w:val="20"/>
          <w:szCs w:val="20"/>
          <w:lang w:val="en-US"/>
        </w:rPr>
      </w:pPr>
      <w:r w:rsidRPr="00DC54FB">
        <w:rPr>
          <w:rFonts w:ascii="Trebuchet MS" w:hAnsi="Trebuchet MS"/>
          <w:b/>
          <w:sz w:val="20"/>
          <w:szCs w:val="20"/>
          <w:lang w:val="en-US"/>
        </w:rPr>
        <w:t xml:space="preserve">Figure </w:t>
      </w:r>
      <w:r>
        <w:rPr>
          <w:rFonts w:ascii="Trebuchet MS" w:hAnsi="Trebuchet MS"/>
          <w:b/>
          <w:sz w:val="20"/>
          <w:szCs w:val="20"/>
          <w:lang w:val="en-US"/>
        </w:rPr>
        <w:t>6</w:t>
      </w:r>
    </w:p>
    <w:p w:rsidR="00DC54FB" w:rsidRPr="00DC54FB" w:rsidRDefault="00DC54FB" w:rsidP="00DC54FB">
      <w:pPr>
        <w:spacing w:after="0"/>
        <w:jc w:val="center"/>
        <w:rPr>
          <w:rFonts w:cstheme="minorHAnsi"/>
          <w:color w:val="000000"/>
          <w:szCs w:val="20"/>
          <w:shd w:val="clear" w:color="auto" w:fill="FFFFFF"/>
          <w:lang w:val="en-US"/>
        </w:rPr>
      </w:pPr>
      <w:r w:rsidRPr="00DC54FB">
        <w:rPr>
          <w:rFonts w:cstheme="minorHAnsi"/>
          <w:noProof/>
          <w:color w:val="000000"/>
          <w:szCs w:val="20"/>
          <w:shd w:val="clear" w:color="auto" w:fill="FFFFFF"/>
        </w:rPr>
        <w:drawing>
          <wp:inline distT="0" distB="0" distL="0" distR="0">
            <wp:extent cx="5334000" cy="2543175"/>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63A98" w:rsidRDefault="00ED475F" w:rsidP="00DC54FB">
      <w:pPr>
        <w:spacing w:after="0"/>
        <w:jc w:val="both"/>
        <w:rPr>
          <w:rFonts w:cstheme="minorHAnsi"/>
          <w:color w:val="000000"/>
          <w:szCs w:val="20"/>
          <w:shd w:val="clear" w:color="auto" w:fill="FFFFFF"/>
          <w:lang w:val="en-US"/>
        </w:rPr>
      </w:pPr>
      <w:r>
        <w:rPr>
          <w:rFonts w:ascii="Trebuchet MS" w:hAnsi="Trebuchet MS"/>
          <w:color w:val="000000"/>
          <w:sz w:val="20"/>
          <w:szCs w:val="20"/>
          <w:shd w:val="clear" w:color="auto" w:fill="FFFFFF"/>
          <w:lang w:val="en-US"/>
        </w:rPr>
        <w:tab/>
      </w:r>
      <w:r w:rsidRPr="00ED475F">
        <w:rPr>
          <w:rFonts w:cstheme="minorHAnsi"/>
          <w:color w:val="000000"/>
          <w:szCs w:val="20"/>
          <w:shd w:val="clear" w:color="auto" w:fill="FFFFFF"/>
          <w:lang w:val="en-US"/>
        </w:rPr>
        <w:t>It should be noted tha</w:t>
      </w:r>
      <w:r w:rsidR="009C6C8A">
        <w:rPr>
          <w:rFonts w:cstheme="minorHAnsi"/>
          <w:color w:val="000000"/>
          <w:szCs w:val="20"/>
          <w:shd w:val="clear" w:color="auto" w:fill="FFFFFF"/>
          <w:lang w:val="en-US"/>
        </w:rPr>
        <w:t>t during the period of 2012-2013 Ukraine reached the list of top countries with the highest rate of development of renewable energy sources. However, investments in the projects that deal with renewable energy sources may become less appealing due to the economic instability, invasion a</w:t>
      </w:r>
      <w:r w:rsidR="001B1F69">
        <w:rPr>
          <w:rFonts w:cstheme="minorHAnsi"/>
          <w:color w:val="000000"/>
          <w:szCs w:val="20"/>
          <w:shd w:val="clear" w:color="auto" w:fill="FFFFFF"/>
          <w:lang w:val="en-US"/>
        </w:rPr>
        <w:t>nd occupation of Crimea</w:t>
      </w:r>
      <w:r w:rsidR="009C6C8A">
        <w:rPr>
          <w:rFonts w:cstheme="minorHAnsi"/>
          <w:color w:val="000000"/>
          <w:szCs w:val="20"/>
          <w:shd w:val="clear" w:color="auto" w:fill="FFFFFF"/>
          <w:lang w:val="en-US"/>
        </w:rPr>
        <w:t xml:space="preserve"> and changes in politics towards “green” undertakings.</w:t>
      </w:r>
    </w:p>
    <w:p w:rsidR="009C6C8A" w:rsidRDefault="009C6C8A" w:rsidP="00ED475F">
      <w:pPr>
        <w:spacing w:after="0"/>
        <w:jc w:val="both"/>
        <w:rPr>
          <w:rFonts w:cstheme="minorHAnsi"/>
          <w:color w:val="000000"/>
          <w:szCs w:val="20"/>
          <w:shd w:val="clear" w:color="auto" w:fill="FFFFFF"/>
          <w:lang w:val="en-US"/>
        </w:rPr>
      </w:pPr>
      <w:r>
        <w:rPr>
          <w:rFonts w:cstheme="minorHAnsi"/>
          <w:color w:val="000000"/>
          <w:szCs w:val="20"/>
          <w:shd w:val="clear" w:color="auto" w:fill="FFFFFF"/>
          <w:lang w:val="en-US"/>
        </w:rPr>
        <w:tab/>
        <w:t xml:space="preserve">According to the experts, there are different legislative proposals </w:t>
      </w:r>
      <w:r w:rsidR="008C650C">
        <w:rPr>
          <w:rFonts w:cstheme="minorHAnsi"/>
          <w:color w:val="000000"/>
          <w:szCs w:val="20"/>
          <w:shd w:val="clear" w:color="auto" w:fill="FFFFFF"/>
          <w:lang w:val="en-US"/>
        </w:rPr>
        <w:t xml:space="preserve">under discussion </w:t>
      </w:r>
      <w:r>
        <w:rPr>
          <w:rFonts w:cstheme="minorHAnsi"/>
          <w:color w:val="000000"/>
          <w:szCs w:val="20"/>
          <w:shd w:val="clear" w:color="auto" w:fill="FFFFFF"/>
          <w:lang w:val="en-US"/>
        </w:rPr>
        <w:t xml:space="preserve">that deal with changes </w:t>
      </w:r>
      <w:r w:rsidR="008C650C">
        <w:rPr>
          <w:rFonts w:cstheme="minorHAnsi"/>
          <w:color w:val="000000"/>
          <w:szCs w:val="20"/>
          <w:shd w:val="clear" w:color="auto" w:fill="FFFFFF"/>
          <w:lang w:val="en-US"/>
        </w:rPr>
        <w:t>to</w:t>
      </w:r>
      <w:r>
        <w:rPr>
          <w:rFonts w:cstheme="minorHAnsi"/>
          <w:color w:val="000000"/>
          <w:szCs w:val="20"/>
          <w:shd w:val="clear" w:color="auto" w:fill="FFFFFF"/>
          <w:lang w:val="en-US"/>
        </w:rPr>
        <w:t xml:space="preserve"> current “green” tariffs and </w:t>
      </w:r>
      <w:r w:rsidR="008C650C">
        <w:rPr>
          <w:rFonts w:cstheme="minorHAnsi"/>
          <w:color w:val="000000"/>
          <w:szCs w:val="20"/>
          <w:shd w:val="clear" w:color="auto" w:fill="FFFFFF"/>
          <w:lang w:val="en-US"/>
        </w:rPr>
        <w:t>amounts</w:t>
      </w:r>
      <w:r>
        <w:rPr>
          <w:rFonts w:cstheme="minorHAnsi"/>
          <w:color w:val="000000"/>
          <w:szCs w:val="20"/>
          <w:shd w:val="clear" w:color="auto" w:fill="FFFFFF"/>
          <w:lang w:val="en-US"/>
        </w:rPr>
        <w:t xml:space="preserve"> of </w:t>
      </w:r>
      <w:r w:rsidR="008C650C">
        <w:rPr>
          <w:rFonts w:cstheme="minorHAnsi"/>
          <w:color w:val="000000"/>
          <w:szCs w:val="20"/>
          <w:shd w:val="clear" w:color="auto" w:fill="FFFFFF"/>
          <w:lang w:val="en-US"/>
        </w:rPr>
        <w:t>the “</w:t>
      </w:r>
      <w:r w:rsidR="008C650C" w:rsidRPr="00853127">
        <w:rPr>
          <w:rFonts w:cstheme="minorHAnsi"/>
          <w:i/>
          <w:color w:val="000000"/>
          <w:szCs w:val="20"/>
          <w:u w:val="single"/>
          <w:shd w:val="clear" w:color="auto" w:fill="FFFFFF"/>
          <w:lang w:val="en-US"/>
        </w:rPr>
        <w:t>local component</w:t>
      </w:r>
      <w:r w:rsidR="008C650C">
        <w:rPr>
          <w:rFonts w:cstheme="minorHAnsi"/>
          <w:color w:val="000000"/>
          <w:szCs w:val="20"/>
          <w:shd w:val="clear" w:color="auto" w:fill="FFFFFF"/>
          <w:lang w:val="en-US"/>
        </w:rPr>
        <w:t xml:space="preserve">” (the amount of Ukrainian raw products, components, services etc, that companies must use in the production process). These changes to the tariffs </w:t>
      </w:r>
      <w:r w:rsidR="00260923">
        <w:rPr>
          <w:rFonts w:cstheme="minorHAnsi"/>
          <w:color w:val="000000"/>
          <w:szCs w:val="20"/>
          <w:shd w:val="clear" w:color="auto" w:fill="FFFFFF"/>
          <w:lang w:val="en-US"/>
        </w:rPr>
        <w:t xml:space="preserve">and amounts of the “local components” </w:t>
      </w:r>
      <w:r w:rsidR="008C650C">
        <w:rPr>
          <w:rFonts w:cstheme="minorHAnsi"/>
          <w:color w:val="000000"/>
          <w:szCs w:val="20"/>
          <w:shd w:val="clear" w:color="auto" w:fill="FFFFFF"/>
          <w:lang w:val="en-US"/>
        </w:rPr>
        <w:t>will affect both active and planned solar power stations.</w:t>
      </w:r>
    </w:p>
    <w:p w:rsidR="003870F3" w:rsidRPr="00DC54FB" w:rsidRDefault="00260923" w:rsidP="00DC54FB">
      <w:pPr>
        <w:spacing w:after="0"/>
        <w:jc w:val="both"/>
        <w:rPr>
          <w:rFonts w:cstheme="minorHAnsi"/>
          <w:bCs/>
          <w:color w:val="252525"/>
          <w:shd w:val="clear" w:color="auto" w:fill="FFFFFF"/>
          <w:lang w:val="en-GB"/>
        </w:rPr>
      </w:pPr>
      <w:r>
        <w:rPr>
          <w:rFonts w:cstheme="minorHAnsi"/>
          <w:color w:val="000000"/>
          <w:szCs w:val="20"/>
          <w:shd w:val="clear" w:color="auto" w:fill="FFFFFF"/>
          <w:lang w:val="en-US"/>
        </w:rPr>
        <w:tab/>
      </w:r>
      <w:r w:rsidR="001F1447">
        <w:rPr>
          <w:rFonts w:cstheme="minorHAnsi"/>
          <w:color w:val="000000"/>
          <w:szCs w:val="20"/>
          <w:shd w:val="clear" w:color="auto" w:fill="FFFFFF"/>
          <w:lang w:val="en-US"/>
        </w:rPr>
        <w:t>As of the April 1,</w:t>
      </w:r>
      <w:r w:rsidR="001F1447">
        <w:rPr>
          <w:rFonts w:cstheme="minorHAnsi"/>
          <w:color w:val="000000"/>
          <w:szCs w:val="20"/>
          <w:shd w:val="clear" w:color="auto" w:fill="FFFFFF"/>
          <w:vertAlign w:val="superscript"/>
          <w:lang w:val="en-US"/>
        </w:rPr>
        <w:t xml:space="preserve">, </w:t>
      </w:r>
      <w:r w:rsidR="001F1447">
        <w:rPr>
          <w:rFonts w:cstheme="minorHAnsi"/>
          <w:color w:val="000000"/>
          <w:szCs w:val="20"/>
          <w:shd w:val="clear" w:color="auto" w:fill="FFFFFF"/>
          <w:lang w:val="en-US"/>
        </w:rPr>
        <w:t>2014, t</w:t>
      </w:r>
      <w:r w:rsidRPr="004F64E5">
        <w:rPr>
          <w:rFonts w:cstheme="minorHAnsi"/>
          <w:color w:val="000000"/>
          <w:szCs w:val="20"/>
          <w:shd w:val="clear" w:color="auto" w:fill="FFFFFF"/>
          <w:lang w:val="en-US"/>
        </w:rPr>
        <w:t>he national commission for regulation of energy sector has approved the tariff of €0.</w:t>
      </w:r>
      <w:r w:rsidR="007C6021">
        <w:rPr>
          <w:rFonts w:cstheme="minorHAnsi"/>
          <w:color w:val="000000"/>
          <w:szCs w:val="20"/>
          <w:shd w:val="clear" w:color="auto" w:fill="FFFFFF"/>
          <w:lang w:val="en-US"/>
        </w:rPr>
        <w:t>45</w:t>
      </w:r>
      <w:r w:rsidR="00B47938">
        <w:rPr>
          <w:rStyle w:val="Appelnotedebasdep"/>
          <w:rFonts w:cstheme="minorHAnsi"/>
          <w:color w:val="000000"/>
          <w:szCs w:val="20"/>
          <w:shd w:val="clear" w:color="auto" w:fill="FFFFFF"/>
          <w:lang w:val="en-US"/>
        </w:rPr>
        <w:footnoteReference w:id="1"/>
      </w:r>
      <w:r w:rsidRPr="004F64E5">
        <w:rPr>
          <w:rFonts w:cstheme="minorHAnsi"/>
          <w:color w:val="000000"/>
          <w:szCs w:val="20"/>
          <w:shd w:val="clear" w:color="auto" w:fill="FFFFFF"/>
          <w:lang w:val="en-US"/>
        </w:rPr>
        <w:t xml:space="preserve"> per </w:t>
      </w:r>
      <w:r w:rsidR="007C6021">
        <w:rPr>
          <w:rFonts w:cstheme="minorHAnsi"/>
          <w:color w:val="000000"/>
          <w:szCs w:val="20"/>
          <w:shd w:val="clear" w:color="auto" w:fill="FFFFFF"/>
          <w:lang w:val="en-US"/>
        </w:rPr>
        <w:t xml:space="preserve">1 </w:t>
      </w:r>
      <w:r w:rsidRPr="004F64E5">
        <w:rPr>
          <w:rFonts w:cstheme="minorHAnsi"/>
          <w:color w:val="000000"/>
          <w:szCs w:val="20"/>
          <w:shd w:val="clear" w:color="auto" w:fill="FFFFFF"/>
          <w:lang w:val="en-US"/>
        </w:rPr>
        <w:t xml:space="preserve">kWh for the majority of solar power stations, </w:t>
      </w:r>
      <w:r w:rsidR="004F64E5" w:rsidRPr="004F64E5">
        <w:rPr>
          <w:rFonts w:cstheme="minorHAnsi"/>
          <w:color w:val="000000"/>
          <w:szCs w:val="20"/>
          <w:shd w:val="clear" w:color="auto" w:fill="FFFFFF"/>
          <w:lang w:val="en-US"/>
        </w:rPr>
        <w:t>the tariff of €0.</w:t>
      </w:r>
      <w:r w:rsidR="007C6021">
        <w:rPr>
          <w:rFonts w:cstheme="minorHAnsi"/>
          <w:color w:val="000000"/>
          <w:szCs w:val="20"/>
          <w:shd w:val="clear" w:color="auto" w:fill="FFFFFF"/>
          <w:lang w:val="en-US"/>
        </w:rPr>
        <w:t>11</w:t>
      </w:r>
      <w:r w:rsidR="00B47938">
        <w:rPr>
          <w:rStyle w:val="Appelnotedebasdep"/>
          <w:rFonts w:cstheme="minorHAnsi"/>
          <w:color w:val="000000"/>
          <w:szCs w:val="20"/>
          <w:shd w:val="clear" w:color="auto" w:fill="FFFFFF"/>
          <w:lang w:val="en-US"/>
        </w:rPr>
        <w:t>1</w:t>
      </w:r>
      <w:r w:rsidR="00B47938">
        <w:rPr>
          <w:rFonts w:cstheme="minorHAnsi"/>
          <w:color w:val="000000"/>
          <w:szCs w:val="20"/>
          <w:shd w:val="clear" w:color="auto" w:fill="FFFFFF"/>
          <w:lang w:val="en-US"/>
        </w:rPr>
        <w:t xml:space="preserve"> </w:t>
      </w:r>
      <w:r w:rsidR="004F64E5" w:rsidRPr="004F64E5">
        <w:rPr>
          <w:rFonts w:cstheme="minorHAnsi"/>
          <w:color w:val="000000"/>
          <w:szCs w:val="20"/>
          <w:shd w:val="clear" w:color="auto" w:fill="FFFFFF"/>
          <w:lang w:val="en-US"/>
        </w:rPr>
        <w:t xml:space="preserve">per </w:t>
      </w:r>
      <w:r w:rsidR="007C6021">
        <w:rPr>
          <w:rFonts w:cstheme="minorHAnsi"/>
          <w:color w:val="000000"/>
          <w:szCs w:val="20"/>
          <w:shd w:val="clear" w:color="auto" w:fill="FFFFFF"/>
          <w:lang w:val="en-US"/>
        </w:rPr>
        <w:t xml:space="preserve">1 </w:t>
      </w:r>
      <w:r w:rsidR="004F64E5" w:rsidRPr="004F64E5">
        <w:rPr>
          <w:rFonts w:cstheme="minorHAnsi"/>
          <w:color w:val="000000"/>
          <w:szCs w:val="20"/>
          <w:shd w:val="clear" w:color="auto" w:fill="FFFFFF"/>
          <w:lang w:val="en-US"/>
        </w:rPr>
        <w:t>kWh for wind generators, and the tariff of €0.0</w:t>
      </w:r>
      <w:r w:rsidR="007C6021">
        <w:rPr>
          <w:rFonts w:cstheme="minorHAnsi"/>
          <w:color w:val="000000"/>
          <w:szCs w:val="20"/>
          <w:shd w:val="clear" w:color="auto" w:fill="FFFFFF"/>
          <w:lang w:val="en-US"/>
        </w:rPr>
        <w:t>2</w:t>
      </w:r>
      <w:r w:rsidR="00B47938">
        <w:rPr>
          <w:rStyle w:val="Appelnotedebasdep"/>
          <w:rFonts w:cstheme="minorHAnsi"/>
          <w:color w:val="000000"/>
          <w:szCs w:val="20"/>
          <w:shd w:val="clear" w:color="auto" w:fill="FFFFFF"/>
          <w:lang w:val="en-US"/>
        </w:rPr>
        <w:t>1</w:t>
      </w:r>
      <w:r w:rsidR="00B47938">
        <w:rPr>
          <w:rFonts w:cstheme="minorHAnsi"/>
          <w:color w:val="000000"/>
          <w:szCs w:val="20"/>
          <w:shd w:val="clear" w:color="auto" w:fill="FFFFFF"/>
          <w:lang w:val="en-US"/>
        </w:rPr>
        <w:t xml:space="preserve"> </w:t>
      </w:r>
      <w:r w:rsidR="004F64E5" w:rsidRPr="004F64E5">
        <w:rPr>
          <w:rFonts w:cstheme="minorHAnsi"/>
          <w:color w:val="000000"/>
          <w:szCs w:val="20"/>
          <w:shd w:val="clear" w:color="auto" w:fill="FFFFFF"/>
          <w:lang w:val="en-US"/>
        </w:rPr>
        <w:t xml:space="preserve">per </w:t>
      </w:r>
      <w:r w:rsidR="007C6021">
        <w:rPr>
          <w:rFonts w:cstheme="minorHAnsi"/>
          <w:color w:val="000000"/>
          <w:szCs w:val="20"/>
          <w:shd w:val="clear" w:color="auto" w:fill="FFFFFF"/>
          <w:lang w:val="en-US"/>
        </w:rPr>
        <w:t xml:space="preserve">1 </w:t>
      </w:r>
      <w:r w:rsidR="004F64E5" w:rsidRPr="004F64E5">
        <w:rPr>
          <w:rFonts w:cstheme="minorHAnsi"/>
          <w:color w:val="000000"/>
          <w:szCs w:val="20"/>
          <w:shd w:val="clear" w:color="auto" w:fill="FFFFFF"/>
          <w:lang w:val="en-US"/>
        </w:rPr>
        <w:t xml:space="preserve">kWh for the </w:t>
      </w:r>
      <w:r w:rsidR="004F64E5" w:rsidRPr="004F64E5">
        <w:rPr>
          <w:rFonts w:cstheme="minorHAnsi"/>
          <w:bCs/>
          <w:color w:val="252525"/>
          <w:shd w:val="clear" w:color="auto" w:fill="FFFFFF"/>
          <w:lang w:val="en-GB"/>
        </w:rPr>
        <w:t>National Nuclear Energy Generating Company of Ukraine (</w:t>
      </w:r>
      <w:proofErr w:type="spellStart"/>
      <w:r w:rsidR="004F64E5" w:rsidRPr="004F64E5">
        <w:rPr>
          <w:rFonts w:cstheme="minorHAnsi"/>
          <w:bCs/>
          <w:color w:val="252525"/>
          <w:shd w:val="clear" w:color="auto" w:fill="FFFFFF"/>
          <w:lang w:val="en-GB"/>
        </w:rPr>
        <w:t>Energoatom</w:t>
      </w:r>
      <w:proofErr w:type="spellEnd"/>
      <w:r w:rsidR="004F64E5" w:rsidRPr="004F64E5">
        <w:rPr>
          <w:rFonts w:cstheme="minorHAnsi"/>
          <w:bCs/>
          <w:color w:val="252525"/>
          <w:shd w:val="clear" w:color="auto" w:fill="FFFFFF"/>
          <w:lang w:val="en-GB"/>
        </w:rPr>
        <w:t>).</w:t>
      </w:r>
      <w:r w:rsidR="004F64E5">
        <w:rPr>
          <w:rFonts w:cstheme="minorHAnsi"/>
          <w:bCs/>
          <w:color w:val="252525"/>
          <w:shd w:val="clear" w:color="auto" w:fill="FFFFFF"/>
          <w:lang w:val="en-GB"/>
        </w:rPr>
        <w:t xml:space="preserve"> </w:t>
      </w:r>
      <w:r w:rsidR="00AC0C3C">
        <w:rPr>
          <w:rFonts w:cstheme="minorHAnsi"/>
          <w:bCs/>
          <w:color w:val="252525"/>
          <w:shd w:val="clear" w:color="auto" w:fill="FFFFFF"/>
          <w:lang w:val="en-GB"/>
        </w:rPr>
        <w:t>The government proposed to</w:t>
      </w:r>
      <w:r w:rsidR="0036074E">
        <w:rPr>
          <w:rFonts w:cstheme="minorHAnsi"/>
          <w:bCs/>
          <w:color w:val="252525"/>
          <w:shd w:val="clear" w:color="auto" w:fill="FFFFFF"/>
          <w:lang w:val="en-GB"/>
        </w:rPr>
        <w:t xml:space="preserve"> reduce </w:t>
      </w:r>
      <w:r w:rsidR="00AC0C3C">
        <w:rPr>
          <w:rFonts w:cstheme="minorHAnsi"/>
          <w:bCs/>
          <w:color w:val="252525"/>
          <w:shd w:val="clear" w:color="auto" w:fill="FFFFFF"/>
          <w:lang w:val="en-GB"/>
        </w:rPr>
        <w:t>the tariff for solar power stations</w:t>
      </w:r>
      <w:r w:rsidR="0036074E">
        <w:rPr>
          <w:rFonts w:cstheme="minorHAnsi"/>
          <w:bCs/>
          <w:color w:val="252525"/>
          <w:shd w:val="clear" w:color="auto" w:fill="FFFFFF"/>
          <w:lang w:val="en-GB"/>
        </w:rPr>
        <w:t xml:space="preserve"> and charge them 1.8 times less. One should </w:t>
      </w:r>
      <w:r w:rsidR="00853127">
        <w:rPr>
          <w:rFonts w:cstheme="minorHAnsi"/>
          <w:bCs/>
          <w:color w:val="252525"/>
          <w:shd w:val="clear" w:color="auto" w:fill="FFFFFF"/>
          <w:lang w:val="en-GB"/>
        </w:rPr>
        <w:t xml:space="preserve">not </w:t>
      </w:r>
      <w:r w:rsidR="0036074E">
        <w:rPr>
          <w:rFonts w:cstheme="minorHAnsi"/>
          <w:bCs/>
          <w:color w:val="252525"/>
          <w:shd w:val="clear" w:color="auto" w:fill="FFFFFF"/>
          <w:lang w:val="en-GB"/>
        </w:rPr>
        <w:t xml:space="preserve">forget the fact that the vast majority of powerful </w:t>
      </w:r>
      <w:proofErr w:type="spellStart"/>
      <w:r w:rsidR="0036074E">
        <w:rPr>
          <w:rFonts w:cstheme="minorHAnsi"/>
          <w:bCs/>
          <w:color w:val="252525"/>
          <w:shd w:val="clear" w:color="auto" w:fill="FFFFFF"/>
          <w:lang w:val="en-GB"/>
        </w:rPr>
        <w:t>heliostations</w:t>
      </w:r>
      <w:proofErr w:type="spellEnd"/>
      <w:r w:rsidR="0036074E">
        <w:rPr>
          <w:rFonts w:cstheme="minorHAnsi"/>
          <w:bCs/>
          <w:color w:val="252525"/>
          <w:shd w:val="clear" w:color="auto" w:fill="FFFFFF"/>
          <w:lang w:val="en-GB"/>
        </w:rPr>
        <w:t xml:space="preserve"> are under control of brothers </w:t>
      </w:r>
      <w:proofErr w:type="spellStart"/>
      <w:r w:rsidR="0036074E">
        <w:rPr>
          <w:rFonts w:cstheme="minorHAnsi"/>
          <w:bCs/>
          <w:color w:val="252525"/>
          <w:shd w:val="clear" w:color="auto" w:fill="FFFFFF"/>
          <w:lang w:val="en-GB"/>
        </w:rPr>
        <w:t>Serhiy</w:t>
      </w:r>
      <w:proofErr w:type="spellEnd"/>
      <w:r w:rsidR="0036074E">
        <w:rPr>
          <w:rFonts w:cstheme="minorHAnsi"/>
          <w:bCs/>
          <w:color w:val="252525"/>
          <w:shd w:val="clear" w:color="auto" w:fill="FFFFFF"/>
          <w:lang w:val="en-GB"/>
        </w:rPr>
        <w:t xml:space="preserve"> and </w:t>
      </w:r>
      <w:proofErr w:type="spellStart"/>
      <w:r w:rsidR="0036074E">
        <w:rPr>
          <w:rFonts w:cstheme="minorHAnsi"/>
          <w:bCs/>
          <w:color w:val="252525"/>
          <w:shd w:val="clear" w:color="auto" w:fill="FFFFFF"/>
          <w:lang w:val="en-GB"/>
        </w:rPr>
        <w:t>Andriy</w:t>
      </w:r>
      <w:proofErr w:type="spellEnd"/>
      <w:r w:rsidR="0036074E">
        <w:rPr>
          <w:rFonts w:cstheme="minorHAnsi"/>
          <w:bCs/>
          <w:color w:val="252525"/>
          <w:shd w:val="clear" w:color="auto" w:fill="FFFFFF"/>
          <w:lang w:val="en-GB"/>
        </w:rPr>
        <w:t xml:space="preserve"> </w:t>
      </w:r>
      <w:proofErr w:type="spellStart"/>
      <w:r w:rsidR="0036074E">
        <w:rPr>
          <w:rFonts w:cstheme="minorHAnsi"/>
          <w:bCs/>
          <w:color w:val="252525"/>
          <w:shd w:val="clear" w:color="auto" w:fill="FFFFFF"/>
          <w:lang w:val="en-GB"/>
        </w:rPr>
        <w:t>Klyuyev</w:t>
      </w:r>
      <w:proofErr w:type="spellEnd"/>
      <w:r w:rsidR="0036074E">
        <w:rPr>
          <w:rFonts w:cstheme="minorHAnsi"/>
          <w:bCs/>
          <w:color w:val="252525"/>
          <w:shd w:val="clear" w:color="auto" w:fill="FFFFFF"/>
          <w:lang w:val="en-GB"/>
        </w:rPr>
        <w:t xml:space="preserve"> (Active Solar Company) that were lobbying their </w:t>
      </w:r>
      <w:r w:rsidR="00853127">
        <w:rPr>
          <w:rFonts w:cstheme="minorHAnsi"/>
          <w:bCs/>
          <w:color w:val="252525"/>
          <w:shd w:val="clear" w:color="auto" w:fill="FFFFFF"/>
          <w:lang w:val="en-GB"/>
        </w:rPr>
        <w:t>business</w:t>
      </w:r>
      <w:r w:rsidR="0036074E">
        <w:rPr>
          <w:rFonts w:cstheme="minorHAnsi"/>
          <w:bCs/>
          <w:color w:val="252525"/>
          <w:shd w:val="clear" w:color="auto" w:fill="FFFFFF"/>
          <w:lang w:val="en-GB"/>
        </w:rPr>
        <w:t xml:space="preserve"> in the Cabinet of Ministers of </w:t>
      </w:r>
      <w:r w:rsidR="00853127">
        <w:rPr>
          <w:rFonts w:cstheme="minorHAnsi"/>
          <w:bCs/>
          <w:color w:val="252525"/>
          <w:shd w:val="clear" w:color="auto" w:fill="FFFFFF"/>
          <w:lang w:val="en-GB"/>
        </w:rPr>
        <w:t xml:space="preserve">Ukraine under Prime Minister </w:t>
      </w:r>
      <w:proofErr w:type="spellStart"/>
      <w:r w:rsidR="0036074E">
        <w:rPr>
          <w:rFonts w:cstheme="minorHAnsi"/>
          <w:bCs/>
          <w:color w:val="252525"/>
          <w:shd w:val="clear" w:color="auto" w:fill="FFFFFF"/>
          <w:lang w:val="en-GB"/>
        </w:rPr>
        <w:t>Mykola</w:t>
      </w:r>
      <w:proofErr w:type="spellEnd"/>
      <w:r w:rsidR="0036074E">
        <w:rPr>
          <w:rFonts w:cstheme="minorHAnsi"/>
          <w:bCs/>
          <w:color w:val="252525"/>
          <w:shd w:val="clear" w:color="auto" w:fill="FFFFFF"/>
          <w:lang w:val="en-GB"/>
        </w:rPr>
        <w:t xml:space="preserve"> </w:t>
      </w:r>
      <w:proofErr w:type="spellStart"/>
      <w:r w:rsidR="0036074E">
        <w:rPr>
          <w:rFonts w:cstheme="minorHAnsi"/>
          <w:bCs/>
          <w:color w:val="252525"/>
          <w:shd w:val="clear" w:color="auto" w:fill="FFFFFF"/>
          <w:lang w:val="en-GB"/>
        </w:rPr>
        <w:t>Azarov</w:t>
      </w:r>
      <w:proofErr w:type="spellEnd"/>
      <w:r w:rsidR="0036074E">
        <w:rPr>
          <w:rFonts w:cstheme="minorHAnsi"/>
          <w:bCs/>
          <w:color w:val="252525"/>
          <w:shd w:val="clear" w:color="auto" w:fill="FFFFFF"/>
          <w:lang w:val="en-GB"/>
        </w:rPr>
        <w:t xml:space="preserve"> and runaway-President Viktor Yanukovych.</w:t>
      </w:r>
    </w:p>
    <w:p w:rsidR="000241FF" w:rsidRDefault="000C2E96" w:rsidP="000C2E96">
      <w:pPr>
        <w:spacing w:after="0"/>
        <w:jc w:val="both"/>
        <w:rPr>
          <w:rFonts w:cstheme="minorHAnsi"/>
          <w:color w:val="000000"/>
          <w:sz w:val="20"/>
          <w:szCs w:val="20"/>
          <w:shd w:val="clear" w:color="auto" w:fill="FFFFFF"/>
          <w:lang w:val="en-US"/>
        </w:rPr>
      </w:pPr>
      <w:r>
        <w:rPr>
          <w:rFonts w:cstheme="minorHAnsi"/>
          <w:color w:val="000000"/>
          <w:sz w:val="20"/>
          <w:szCs w:val="20"/>
          <w:shd w:val="clear" w:color="auto" w:fill="FFFFFF"/>
          <w:lang w:val="en-US"/>
        </w:rPr>
        <w:tab/>
      </w:r>
      <w:r w:rsidR="003675BD" w:rsidRPr="003675BD">
        <w:rPr>
          <w:rFonts w:cstheme="minorHAnsi"/>
          <w:color w:val="000000"/>
          <w:szCs w:val="20"/>
          <w:shd w:val="clear" w:color="auto" w:fill="FFFFFF"/>
          <w:lang w:val="en-US"/>
        </w:rPr>
        <w:t xml:space="preserve">Another </w:t>
      </w:r>
      <w:r w:rsidR="003675BD">
        <w:rPr>
          <w:rFonts w:cstheme="minorHAnsi"/>
          <w:color w:val="000000"/>
          <w:szCs w:val="20"/>
          <w:shd w:val="clear" w:color="auto" w:fill="FFFFFF"/>
          <w:lang w:val="en-US"/>
        </w:rPr>
        <w:t xml:space="preserve">point is that large solar power stations are located in the </w:t>
      </w:r>
      <w:r w:rsidR="000E4B1D">
        <w:rPr>
          <w:rFonts w:cstheme="minorHAnsi"/>
          <w:color w:val="000000"/>
          <w:szCs w:val="20"/>
          <w:shd w:val="clear" w:color="auto" w:fill="FFFFFF"/>
          <w:lang w:val="en-US"/>
        </w:rPr>
        <w:t xml:space="preserve">temporary </w:t>
      </w:r>
      <w:r w:rsidR="003675BD">
        <w:rPr>
          <w:rFonts w:cstheme="minorHAnsi"/>
          <w:color w:val="000000"/>
          <w:szCs w:val="20"/>
          <w:shd w:val="clear" w:color="auto" w:fill="FFFFFF"/>
          <w:lang w:val="en-US"/>
        </w:rPr>
        <w:t xml:space="preserve">occupied Crimea, and Ukraine has abandoned paying for the electricity they produce. </w:t>
      </w:r>
    </w:p>
    <w:p w:rsidR="00875141" w:rsidRDefault="003675BD" w:rsidP="000C2E96">
      <w:pPr>
        <w:spacing w:after="0"/>
        <w:jc w:val="both"/>
        <w:rPr>
          <w:rFonts w:cstheme="minorHAnsi"/>
          <w:color w:val="000000"/>
          <w:szCs w:val="20"/>
          <w:shd w:val="clear" w:color="auto" w:fill="FFFFFF"/>
          <w:lang w:val="en-US"/>
        </w:rPr>
      </w:pPr>
      <w:r>
        <w:rPr>
          <w:rFonts w:cstheme="minorHAnsi"/>
          <w:color w:val="000000"/>
          <w:sz w:val="20"/>
          <w:szCs w:val="20"/>
          <w:shd w:val="clear" w:color="auto" w:fill="FFFFFF"/>
          <w:lang w:val="en-US"/>
        </w:rPr>
        <w:tab/>
      </w:r>
      <w:r>
        <w:rPr>
          <w:rFonts w:cstheme="minorHAnsi"/>
          <w:color w:val="000000"/>
          <w:szCs w:val="20"/>
          <w:shd w:val="clear" w:color="auto" w:fill="FFFFFF"/>
          <w:lang w:val="en-US"/>
        </w:rPr>
        <w:t xml:space="preserve">According to the current legislation, starting from July 1, the amount of obligatory </w:t>
      </w:r>
      <w:r w:rsidRPr="003675BD">
        <w:rPr>
          <w:rFonts w:cstheme="minorHAnsi"/>
          <w:i/>
          <w:color w:val="000000"/>
          <w:szCs w:val="20"/>
          <w:u w:val="single"/>
          <w:shd w:val="clear" w:color="auto" w:fill="FFFFFF"/>
          <w:lang w:val="en-US"/>
        </w:rPr>
        <w:t>“local component”</w:t>
      </w:r>
      <w:r>
        <w:rPr>
          <w:rFonts w:cstheme="minorHAnsi"/>
          <w:color w:val="000000"/>
          <w:szCs w:val="20"/>
          <w:shd w:val="clear" w:color="auto" w:fill="FFFFFF"/>
          <w:lang w:val="en-US"/>
        </w:rPr>
        <w:t xml:space="preserve"> will be</w:t>
      </w:r>
      <w:r w:rsidR="00BD10C1">
        <w:rPr>
          <w:rFonts w:cstheme="minorHAnsi"/>
          <w:color w:val="000000"/>
          <w:szCs w:val="20"/>
          <w:shd w:val="clear" w:color="auto" w:fill="FFFFFF"/>
          <w:lang w:val="en-US"/>
        </w:rPr>
        <w:t xml:space="preserve"> raised</w:t>
      </w:r>
      <w:r>
        <w:rPr>
          <w:rFonts w:cstheme="minorHAnsi"/>
          <w:color w:val="000000"/>
          <w:szCs w:val="20"/>
          <w:shd w:val="clear" w:color="auto" w:fill="FFFFFF"/>
          <w:lang w:val="en-US"/>
        </w:rPr>
        <w:t xml:space="preserve"> from 30% up to 50% for the solar power stations, and this increase may block the industry since lots of things are need to be imported. </w:t>
      </w:r>
      <w:r w:rsidR="00875141">
        <w:rPr>
          <w:rFonts w:cstheme="minorHAnsi"/>
          <w:color w:val="000000"/>
          <w:szCs w:val="20"/>
          <w:shd w:val="clear" w:color="auto" w:fill="FFFFFF"/>
          <w:lang w:val="en-US"/>
        </w:rPr>
        <w:t xml:space="preserve">Market participants offer to introduce two changes to the Law of Ukraine on the power industry: the “local component” should be cancelled and the </w:t>
      </w:r>
      <w:r w:rsidR="00E8372D">
        <w:rPr>
          <w:rFonts w:cstheme="minorHAnsi"/>
          <w:color w:val="000000"/>
          <w:szCs w:val="20"/>
          <w:shd w:val="clear" w:color="auto" w:fill="FFFFFF"/>
          <w:lang w:val="en-US"/>
        </w:rPr>
        <w:t xml:space="preserve">“green” tariff for solar power stations should be reduced down to </w:t>
      </w:r>
      <w:r w:rsidR="00E8372D" w:rsidRPr="004F64E5">
        <w:rPr>
          <w:rFonts w:cstheme="minorHAnsi"/>
          <w:color w:val="000000"/>
          <w:szCs w:val="20"/>
          <w:shd w:val="clear" w:color="auto" w:fill="FFFFFF"/>
          <w:lang w:val="en-US"/>
        </w:rPr>
        <w:t>€0.</w:t>
      </w:r>
      <w:r w:rsidR="00E8372D">
        <w:rPr>
          <w:rFonts w:cstheme="minorHAnsi"/>
          <w:color w:val="000000"/>
          <w:szCs w:val="20"/>
          <w:shd w:val="clear" w:color="auto" w:fill="FFFFFF"/>
          <w:lang w:val="en-US"/>
        </w:rPr>
        <w:t>22-0.25 per kWh.</w:t>
      </w:r>
    </w:p>
    <w:p w:rsidR="00B62802" w:rsidRDefault="000C2E96" w:rsidP="000C2E96">
      <w:pPr>
        <w:spacing w:after="0"/>
        <w:jc w:val="both"/>
        <w:rPr>
          <w:rFonts w:cstheme="minorHAnsi"/>
          <w:color w:val="000000"/>
          <w:szCs w:val="20"/>
          <w:shd w:val="clear" w:color="auto" w:fill="FFFFFF"/>
          <w:lang w:val="en-US"/>
        </w:rPr>
      </w:pPr>
      <w:r>
        <w:rPr>
          <w:rFonts w:cstheme="minorHAnsi"/>
          <w:color w:val="000000"/>
          <w:szCs w:val="20"/>
          <w:shd w:val="clear" w:color="auto" w:fill="FFFFFF"/>
          <w:lang w:val="en-US"/>
        </w:rPr>
        <w:tab/>
        <w:t xml:space="preserve">Experts believe that biomass energy may allow Ukraine to partly replace the natural gas with renewable source of energy. During upcoming years Ukraine can replace more than 3.5 billion of cubic meters of gas per year (which accounts for 7% of consumed gas and 10% of imported gas in 2013), and there is a potential to replace 18% of the total amount of </w:t>
      </w:r>
      <w:r w:rsidR="00C42086">
        <w:rPr>
          <w:rFonts w:cstheme="minorHAnsi"/>
          <w:color w:val="000000"/>
          <w:szCs w:val="20"/>
          <w:shd w:val="clear" w:color="auto" w:fill="FFFFFF"/>
          <w:lang w:val="en-US"/>
        </w:rPr>
        <w:t xml:space="preserve">the </w:t>
      </w:r>
      <w:r>
        <w:rPr>
          <w:rFonts w:cstheme="minorHAnsi"/>
          <w:color w:val="000000"/>
          <w:szCs w:val="20"/>
          <w:shd w:val="clear" w:color="auto" w:fill="FFFFFF"/>
          <w:lang w:val="en-US"/>
        </w:rPr>
        <w:t>energy consumption.</w:t>
      </w:r>
      <w:r w:rsidR="00B62802">
        <w:rPr>
          <w:rFonts w:cstheme="minorHAnsi"/>
          <w:color w:val="000000"/>
          <w:szCs w:val="20"/>
          <w:shd w:val="clear" w:color="auto" w:fill="FFFFFF"/>
          <w:lang w:val="en-US"/>
        </w:rPr>
        <w:t xml:space="preserve"> </w:t>
      </w:r>
    </w:p>
    <w:p w:rsidR="00357F8D" w:rsidRPr="00357F8D" w:rsidRDefault="00B62802" w:rsidP="00357F8D">
      <w:pPr>
        <w:spacing w:after="0"/>
        <w:ind w:firstLine="708"/>
        <w:jc w:val="both"/>
        <w:rPr>
          <w:rFonts w:cstheme="minorHAnsi"/>
          <w:color w:val="000000"/>
          <w:szCs w:val="20"/>
          <w:shd w:val="clear" w:color="auto" w:fill="FFFFFF"/>
          <w:lang w:val="en-US"/>
        </w:rPr>
      </w:pPr>
      <w:r>
        <w:rPr>
          <w:rFonts w:cstheme="minorHAnsi"/>
          <w:color w:val="000000"/>
          <w:szCs w:val="20"/>
          <w:shd w:val="clear" w:color="auto" w:fill="FFFFFF"/>
          <w:lang w:val="en-US"/>
        </w:rPr>
        <w:t xml:space="preserve">However, the biomass is mostly consumed </w:t>
      </w:r>
      <w:r w:rsidR="00BD10C1">
        <w:rPr>
          <w:rFonts w:cstheme="minorHAnsi"/>
          <w:color w:val="000000"/>
          <w:szCs w:val="20"/>
          <w:shd w:val="clear" w:color="auto" w:fill="FFFFFF"/>
          <w:lang w:val="en-US"/>
        </w:rPr>
        <w:t xml:space="preserve">in the process of </w:t>
      </w:r>
      <w:r>
        <w:rPr>
          <w:rFonts w:cstheme="minorHAnsi"/>
          <w:color w:val="000000"/>
          <w:szCs w:val="20"/>
          <w:shd w:val="clear" w:color="auto" w:fill="FFFFFF"/>
          <w:lang w:val="en-US"/>
        </w:rPr>
        <w:t>production of heat, and the key consumer of heat in Ukraine is public utility sector.</w:t>
      </w:r>
      <w:r w:rsidR="00EB1B57">
        <w:rPr>
          <w:rFonts w:cstheme="minorHAnsi"/>
          <w:color w:val="000000"/>
          <w:szCs w:val="20"/>
          <w:shd w:val="clear" w:color="auto" w:fill="FFFFFF"/>
          <w:lang w:val="en-US"/>
        </w:rPr>
        <w:t xml:space="preserve"> Experts claim that in the current situation there are two ways in which the government can replace the natural gas with biomass in the public utility sector. </w:t>
      </w:r>
      <w:r w:rsidR="00AA2770">
        <w:rPr>
          <w:rFonts w:cstheme="minorHAnsi"/>
          <w:color w:val="000000"/>
          <w:szCs w:val="20"/>
          <w:shd w:val="clear" w:color="auto" w:fill="FFFFFF"/>
          <w:lang w:val="en-US"/>
        </w:rPr>
        <w:t xml:space="preserve">The first one implies waiting until the tariff for heat for the society reaches the market value so that the heat produced out of biomass becomes profitable. Under the current speed of tariff increase this will happen later than in 2 years. The second way implies starting of the mechanism of redistribution of subventions for heat produced from biomass (there are no mechanisms designed now), so that these projects will become profitable now. </w:t>
      </w:r>
      <w:r w:rsidR="007C6021">
        <w:rPr>
          <w:rFonts w:cstheme="minorHAnsi"/>
          <w:color w:val="000000"/>
          <w:szCs w:val="20"/>
          <w:shd w:val="clear" w:color="auto" w:fill="FFFFFF"/>
          <w:lang w:val="en-US"/>
        </w:rPr>
        <w:t xml:space="preserve">Currently the subsidy for the heat produced out of gas amounts to </w:t>
      </w:r>
      <w:r w:rsidR="007C6021" w:rsidRPr="004F64E5">
        <w:rPr>
          <w:rFonts w:cstheme="minorHAnsi"/>
          <w:color w:val="000000"/>
          <w:szCs w:val="20"/>
          <w:shd w:val="clear" w:color="auto" w:fill="FFFFFF"/>
          <w:lang w:val="en-US"/>
        </w:rPr>
        <w:t>€</w:t>
      </w:r>
      <w:r w:rsidR="007C6021">
        <w:rPr>
          <w:rFonts w:cstheme="minorHAnsi"/>
          <w:color w:val="000000"/>
          <w:szCs w:val="20"/>
          <w:shd w:val="clear" w:color="auto" w:fill="FFFFFF"/>
          <w:lang w:val="en-US"/>
        </w:rPr>
        <w:t>36.25</w:t>
      </w:r>
      <w:r w:rsidR="007C6021">
        <w:rPr>
          <w:rStyle w:val="Appelnotedebasdep"/>
          <w:rFonts w:cstheme="minorHAnsi"/>
          <w:color w:val="000000"/>
          <w:szCs w:val="20"/>
          <w:shd w:val="clear" w:color="auto" w:fill="FFFFFF"/>
          <w:lang w:val="en-US"/>
        </w:rPr>
        <w:t>1</w:t>
      </w:r>
      <w:r w:rsidR="007C6021">
        <w:rPr>
          <w:rFonts w:cstheme="minorHAnsi"/>
          <w:color w:val="000000"/>
          <w:szCs w:val="20"/>
          <w:shd w:val="clear" w:color="auto" w:fill="FFFFFF"/>
          <w:lang w:val="en-US"/>
        </w:rPr>
        <w:t xml:space="preserve"> per 1 </w:t>
      </w:r>
      <w:proofErr w:type="spellStart"/>
      <w:r w:rsidR="00A138B5" w:rsidRPr="00AD7776">
        <w:rPr>
          <w:lang w:val="en-US"/>
        </w:rPr>
        <w:t>Gcal</w:t>
      </w:r>
      <w:proofErr w:type="spellEnd"/>
      <w:r w:rsidR="007C6021">
        <w:rPr>
          <w:rFonts w:cstheme="minorHAnsi"/>
          <w:color w:val="000000"/>
          <w:szCs w:val="20"/>
          <w:shd w:val="clear" w:color="auto" w:fill="FFFFFF"/>
          <w:lang w:val="en-US"/>
        </w:rPr>
        <w:t>, VAT excluding. In case the state introduce</w:t>
      </w:r>
      <w:r w:rsidR="00BD10C1">
        <w:rPr>
          <w:rFonts w:cstheme="minorHAnsi"/>
          <w:color w:val="000000"/>
          <w:szCs w:val="20"/>
          <w:shd w:val="clear" w:color="auto" w:fill="FFFFFF"/>
          <w:lang w:val="en-US"/>
        </w:rPr>
        <w:t>s</w:t>
      </w:r>
      <w:r w:rsidR="007C6021">
        <w:rPr>
          <w:rFonts w:cstheme="minorHAnsi"/>
          <w:color w:val="000000"/>
          <w:szCs w:val="20"/>
          <w:shd w:val="clear" w:color="auto" w:fill="FFFFFF"/>
          <w:lang w:val="en-US"/>
        </w:rPr>
        <w:t xml:space="preserve"> subsidies for the heat produced out of biomass, then the subsidy will account for </w:t>
      </w:r>
      <w:r w:rsidR="007C6021" w:rsidRPr="004F64E5">
        <w:rPr>
          <w:rFonts w:cstheme="minorHAnsi"/>
          <w:color w:val="000000"/>
          <w:szCs w:val="20"/>
          <w:shd w:val="clear" w:color="auto" w:fill="FFFFFF"/>
          <w:lang w:val="en-US"/>
        </w:rPr>
        <w:t>€</w:t>
      </w:r>
      <w:r w:rsidR="007C6021">
        <w:rPr>
          <w:rFonts w:cstheme="minorHAnsi"/>
          <w:color w:val="000000"/>
          <w:szCs w:val="20"/>
          <w:shd w:val="clear" w:color="auto" w:fill="FFFFFF"/>
          <w:lang w:val="en-US"/>
        </w:rPr>
        <w:t>20.88</w:t>
      </w:r>
      <w:r w:rsidR="007C6021">
        <w:rPr>
          <w:rStyle w:val="Appelnotedebasdep"/>
          <w:rFonts w:cstheme="minorHAnsi"/>
          <w:color w:val="000000"/>
          <w:szCs w:val="20"/>
          <w:shd w:val="clear" w:color="auto" w:fill="FFFFFF"/>
          <w:lang w:val="en-US"/>
        </w:rPr>
        <w:t>1</w:t>
      </w:r>
      <w:r w:rsidR="007C6021">
        <w:rPr>
          <w:rFonts w:cstheme="minorHAnsi"/>
          <w:color w:val="000000"/>
          <w:szCs w:val="20"/>
          <w:shd w:val="clear" w:color="auto" w:fill="FFFFFF"/>
          <w:lang w:val="en-US"/>
        </w:rPr>
        <w:t xml:space="preserve"> per 1 </w:t>
      </w:r>
      <w:proofErr w:type="spellStart"/>
      <w:r w:rsidR="00A138B5" w:rsidRPr="00AD7776">
        <w:rPr>
          <w:lang w:val="en-US"/>
        </w:rPr>
        <w:t>Gcal</w:t>
      </w:r>
      <w:proofErr w:type="spellEnd"/>
      <w:r w:rsidR="007C6021">
        <w:rPr>
          <w:rFonts w:cstheme="minorHAnsi"/>
          <w:color w:val="000000"/>
          <w:szCs w:val="20"/>
          <w:shd w:val="clear" w:color="auto" w:fill="FFFFFF"/>
          <w:lang w:val="en-US"/>
        </w:rPr>
        <w:t>, VAT excluding.</w:t>
      </w:r>
      <w:r w:rsidR="00357F8D">
        <w:rPr>
          <w:rFonts w:cstheme="minorHAnsi"/>
          <w:color w:val="000000"/>
          <w:szCs w:val="20"/>
          <w:shd w:val="clear" w:color="auto" w:fill="FFFFFF"/>
          <w:lang w:val="en-US"/>
        </w:rPr>
        <w:t xml:space="preserve"> Moreover, experts claim that there are no “green” tariffs for the heat produced out of biomass, so the prospective investors are not required to obtain them.</w:t>
      </w:r>
    </w:p>
    <w:p w:rsidR="00AA2770" w:rsidRDefault="00777C52" w:rsidP="00EB1B57">
      <w:pPr>
        <w:spacing w:after="0"/>
        <w:ind w:firstLine="708"/>
        <w:jc w:val="both"/>
        <w:rPr>
          <w:rFonts w:cstheme="minorHAnsi"/>
          <w:b/>
          <w:color w:val="000000"/>
          <w:szCs w:val="20"/>
          <w:shd w:val="clear" w:color="auto" w:fill="FFFFFF"/>
          <w:lang w:val="en-US"/>
        </w:rPr>
      </w:pPr>
      <w:proofErr w:type="gramStart"/>
      <w:r w:rsidRPr="00777C52">
        <w:rPr>
          <w:rFonts w:cstheme="minorHAnsi"/>
          <w:b/>
          <w:color w:val="000000"/>
          <w:szCs w:val="20"/>
          <w:shd w:val="clear" w:color="auto" w:fill="FFFFFF"/>
          <w:lang w:val="en-US"/>
        </w:rPr>
        <w:t>Renewable energy sector in Crimea.</w:t>
      </w:r>
      <w:proofErr w:type="gramEnd"/>
    </w:p>
    <w:p w:rsidR="00777C52" w:rsidRPr="00777C52" w:rsidRDefault="00777C52" w:rsidP="00EB1B57">
      <w:pPr>
        <w:spacing w:after="0"/>
        <w:ind w:firstLine="708"/>
        <w:jc w:val="both"/>
        <w:rPr>
          <w:rFonts w:cstheme="minorHAnsi"/>
          <w:color w:val="000000"/>
          <w:szCs w:val="20"/>
          <w:shd w:val="clear" w:color="auto" w:fill="FFFFFF"/>
          <w:lang w:val="en-US"/>
        </w:rPr>
      </w:pPr>
      <w:r>
        <w:rPr>
          <w:rFonts w:cstheme="minorHAnsi"/>
          <w:color w:val="000000"/>
          <w:szCs w:val="20"/>
          <w:shd w:val="clear" w:color="auto" w:fill="FFFFFF"/>
          <w:lang w:val="en-US"/>
        </w:rPr>
        <w:t xml:space="preserve">It is important to mention that </w:t>
      </w:r>
      <w:r w:rsidR="000E4B1D">
        <w:rPr>
          <w:rFonts w:cstheme="minorHAnsi"/>
          <w:color w:val="000000"/>
          <w:szCs w:val="20"/>
          <w:shd w:val="clear" w:color="auto" w:fill="FFFFFF"/>
          <w:lang w:val="en-US"/>
        </w:rPr>
        <w:t xml:space="preserve">temporary </w:t>
      </w:r>
      <w:r>
        <w:rPr>
          <w:rFonts w:cstheme="minorHAnsi"/>
          <w:color w:val="000000"/>
          <w:szCs w:val="20"/>
          <w:shd w:val="clear" w:color="auto" w:fill="FFFFFF"/>
          <w:lang w:val="en-US"/>
        </w:rPr>
        <w:t xml:space="preserve">annexation of Crimea has a dramatic impact on the renewable energy sector in Ukraine, since about half of the total installed capacity of Ukrainian renewable energy plants are located in the occupied Crimea. </w:t>
      </w:r>
      <w:r w:rsidR="001D0AD6">
        <w:rPr>
          <w:rFonts w:cstheme="minorHAnsi"/>
          <w:color w:val="000000"/>
          <w:szCs w:val="20"/>
          <w:shd w:val="clear" w:color="auto" w:fill="FFFFFF"/>
          <w:lang w:val="en-US"/>
        </w:rPr>
        <w:t>The renewable energy plants produce 5.6% of consumed energy in Crimea, while across entire Ukraine these plants produce less than 1 % of consumed energy. Crimea</w:t>
      </w:r>
      <w:r>
        <w:rPr>
          <w:rFonts w:cstheme="minorHAnsi"/>
          <w:color w:val="000000"/>
          <w:szCs w:val="20"/>
          <w:shd w:val="clear" w:color="auto" w:fill="FFFFFF"/>
          <w:lang w:val="en-US"/>
        </w:rPr>
        <w:t xml:space="preserve"> is considered to be the most perspective area for renewable energy sector due to the </w:t>
      </w:r>
      <w:r w:rsidR="00280AD4">
        <w:rPr>
          <w:rFonts w:cstheme="minorHAnsi"/>
          <w:color w:val="000000"/>
          <w:szCs w:val="20"/>
          <w:shd w:val="clear" w:color="auto" w:fill="FFFFFF"/>
          <w:lang w:val="en-US"/>
        </w:rPr>
        <w:t xml:space="preserve">steady winds and more than 250 sunny days per year. However, Crimea still faces energy deficit. </w:t>
      </w:r>
      <w:r w:rsidR="00AE1312">
        <w:rPr>
          <w:rFonts w:cstheme="minorHAnsi"/>
          <w:color w:val="000000"/>
          <w:szCs w:val="20"/>
          <w:shd w:val="clear" w:color="auto" w:fill="FFFFFF"/>
          <w:lang w:val="en-US"/>
        </w:rPr>
        <w:t xml:space="preserve">The joint installed capacity of renewable energy plants in Crimea amounts to 407 MW, mainly operated by the </w:t>
      </w:r>
      <w:proofErr w:type="spellStart"/>
      <w:r w:rsidR="00AE1312">
        <w:rPr>
          <w:rFonts w:cstheme="minorHAnsi"/>
          <w:color w:val="000000"/>
          <w:szCs w:val="20"/>
          <w:shd w:val="clear" w:color="auto" w:fill="FFFFFF"/>
          <w:lang w:val="en-US"/>
        </w:rPr>
        <w:t>Activ</w:t>
      </w:r>
      <w:proofErr w:type="spellEnd"/>
      <w:r w:rsidR="00AE1312">
        <w:rPr>
          <w:rFonts w:cstheme="minorHAnsi"/>
          <w:color w:val="000000"/>
          <w:szCs w:val="20"/>
          <w:shd w:val="clear" w:color="auto" w:fill="FFFFFF"/>
          <w:lang w:val="en-US"/>
        </w:rPr>
        <w:t xml:space="preserve"> Solar </w:t>
      </w:r>
      <w:proofErr w:type="gramStart"/>
      <w:r w:rsidR="00AE1312">
        <w:rPr>
          <w:rFonts w:cstheme="minorHAnsi"/>
          <w:color w:val="000000"/>
          <w:szCs w:val="20"/>
          <w:shd w:val="clear" w:color="auto" w:fill="FFFFFF"/>
          <w:lang w:val="en-US"/>
        </w:rPr>
        <w:t>company</w:t>
      </w:r>
      <w:proofErr w:type="gramEnd"/>
      <w:r w:rsidR="00AE1312">
        <w:rPr>
          <w:rFonts w:cstheme="minorHAnsi"/>
          <w:color w:val="000000"/>
          <w:szCs w:val="20"/>
          <w:shd w:val="clear" w:color="auto" w:fill="FFFFFF"/>
          <w:lang w:val="en-US"/>
        </w:rPr>
        <w:t xml:space="preserve"> of </w:t>
      </w:r>
      <w:proofErr w:type="spellStart"/>
      <w:r w:rsidR="00AE1312">
        <w:rPr>
          <w:rFonts w:cstheme="minorHAnsi"/>
          <w:color w:val="000000"/>
          <w:szCs w:val="20"/>
          <w:shd w:val="clear" w:color="auto" w:fill="FFFFFF"/>
          <w:lang w:val="en-US"/>
        </w:rPr>
        <w:t>Klyuyev</w:t>
      </w:r>
      <w:proofErr w:type="spellEnd"/>
      <w:r w:rsidR="00AE1312">
        <w:rPr>
          <w:rFonts w:cstheme="minorHAnsi"/>
          <w:color w:val="000000"/>
          <w:szCs w:val="20"/>
          <w:shd w:val="clear" w:color="auto" w:fill="FFFFFF"/>
          <w:lang w:val="en-US"/>
        </w:rPr>
        <w:t xml:space="preserve"> brothers. </w:t>
      </w:r>
      <w:r w:rsidR="00A21726">
        <w:rPr>
          <w:rFonts w:cstheme="minorHAnsi"/>
          <w:color w:val="000000"/>
          <w:szCs w:val="20"/>
          <w:shd w:val="clear" w:color="auto" w:fill="FFFFFF"/>
          <w:lang w:val="en-US"/>
        </w:rPr>
        <w:t>About 227 MW from the stated above amount were already in operation and were connected to the joint power system of Ukraine, 69 MW on the solar power station “</w:t>
      </w:r>
      <w:proofErr w:type="spellStart"/>
      <w:r w:rsidR="00A21726">
        <w:rPr>
          <w:rFonts w:cstheme="minorHAnsi"/>
          <w:color w:val="000000"/>
          <w:szCs w:val="20"/>
          <w:shd w:val="clear" w:color="auto" w:fill="FFFFFF"/>
          <w:lang w:val="en-US"/>
        </w:rPr>
        <w:t>Nikolaevka</w:t>
      </w:r>
      <w:proofErr w:type="spellEnd"/>
      <w:r w:rsidR="00A21726">
        <w:rPr>
          <w:rFonts w:cstheme="minorHAnsi"/>
          <w:color w:val="000000"/>
          <w:szCs w:val="20"/>
          <w:shd w:val="clear" w:color="auto" w:fill="FFFFFF"/>
          <w:lang w:val="en-US"/>
        </w:rPr>
        <w:t>” were in the checkout process before connection to the joint power system of Ukraine, and about 110 MW on the solar power station “</w:t>
      </w:r>
      <w:proofErr w:type="spellStart"/>
      <w:r w:rsidR="00A21726">
        <w:rPr>
          <w:rFonts w:cstheme="minorHAnsi"/>
          <w:color w:val="000000"/>
          <w:szCs w:val="20"/>
          <w:shd w:val="clear" w:color="auto" w:fill="FFFFFF"/>
          <w:lang w:val="en-US"/>
        </w:rPr>
        <w:t>Vladislavovka</w:t>
      </w:r>
      <w:proofErr w:type="spellEnd"/>
      <w:r w:rsidR="00A21726">
        <w:rPr>
          <w:rFonts w:cstheme="minorHAnsi"/>
          <w:color w:val="000000"/>
          <w:szCs w:val="20"/>
          <w:shd w:val="clear" w:color="auto" w:fill="FFFFFF"/>
          <w:lang w:val="en-US"/>
        </w:rPr>
        <w:t xml:space="preserve">” were waiting for the decision concerning connection to the joint power system. </w:t>
      </w:r>
      <w:r w:rsidR="001D0AD6">
        <w:rPr>
          <w:rFonts w:cstheme="minorHAnsi"/>
          <w:color w:val="000000"/>
          <w:szCs w:val="20"/>
          <w:shd w:val="clear" w:color="auto" w:fill="FFFFFF"/>
          <w:lang w:val="en-US"/>
        </w:rPr>
        <w:t xml:space="preserve">As for the wind power stations, there were about 100 Mw connected to the joint power system of Ukraine, and about 125 Mw were either under construction or in the process of connection to the joint power system. </w:t>
      </w:r>
    </w:p>
    <w:p w:rsidR="002150F4" w:rsidRDefault="002150F4" w:rsidP="002150F4">
      <w:pPr>
        <w:spacing w:after="0"/>
        <w:jc w:val="both"/>
        <w:rPr>
          <w:rFonts w:cstheme="minorHAnsi"/>
          <w:color w:val="000000"/>
          <w:szCs w:val="20"/>
          <w:shd w:val="clear" w:color="auto" w:fill="FFFFFF"/>
          <w:lang w:val="en-US"/>
        </w:rPr>
      </w:pPr>
    </w:p>
    <w:p w:rsidR="00F84C24" w:rsidRDefault="002150F4" w:rsidP="002150F4">
      <w:pPr>
        <w:spacing w:after="0" w:line="240" w:lineRule="auto"/>
        <w:jc w:val="both"/>
        <w:rPr>
          <w:rFonts w:ascii="Calibri" w:eastAsia="Times New Roman" w:hAnsi="Calibri" w:cs="Calibri"/>
          <w:color w:val="FFFFFF"/>
          <w:lang w:val="en-GB" w:eastAsia="ru-RU"/>
        </w:rPr>
      </w:pPr>
      <w:r w:rsidRPr="002150F4">
        <w:rPr>
          <w:rFonts w:cstheme="minorHAnsi"/>
          <w:b/>
          <w:color w:val="000000"/>
          <w:szCs w:val="20"/>
          <w:shd w:val="clear" w:color="auto" w:fill="FFFFFF"/>
          <w:lang w:val="en-US"/>
        </w:rPr>
        <w:t>Table 2</w:t>
      </w:r>
      <w:r w:rsidR="00F84C24" w:rsidRPr="00F84C24">
        <w:rPr>
          <w:rFonts w:ascii="Calibri" w:eastAsia="Times New Roman" w:hAnsi="Calibri" w:cs="Calibri"/>
          <w:color w:val="FFFFFF"/>
          <w:lang w:val="en-GB" w:eastAsia="ru-RU"/>
        </w:rPr>
        <w:t xml:space="preserve"> </w:t>
      </w:r>
    </w:p>
    <w:p w:rsidR="00777C52" w:rsidRPr="00660746" w:rsidRDefault="00F84C24" w:rsidP="00F84C24">
      <w:pPr>
        <w:spacing w:after="0" w:line="240" w:lineRule="auto"/>
        <w:jc w:val="center"/>
        <w:rPr>
          <w:rFonts w:cstheme="minorHAnsi"/>
          <w:b/>
          <w:shd w:val="clear" w:color="auto" w:fill="FFFFFF"/>
          <w:lang w:val="en-GB"/>
        </w:rPr>
      </w:pPr>
      <w:r w:rsidRPr="002150F4">
        <w:rPr>
          <w:rFonts w:eastAsia="Times New Roman" w:cstheme="minorHAnsi"/>
          <w:b/>
          <w:lang w:val="en-GB" w:eastAsia="ru-RU"/>
        </w:rPr>
        <w:t>Largest wind power stations situated in Crimean Peninsula</w:t>
      </w:r>
    </w:p>
    <w:tbl>
      <w:tblPr>
        <w:tblW w:w="10495" w:type="dxa"/>
        <w:tblInd w:w="103" w:type="dxa"/>
        <w:tblLook w:val="04A0" w:firstRow="1" w:lastRow="0" w:firstColumn="1" w:lastColumn="0" w:noHBand="0" w:noVBand="1"/>
      </w:tblPr>
      <w:tblGrid>
        <w:gridCol w:w="2273"/>
        <w:gridCol w:w="2268"/>
        <w:gridCol w:w="5954"/>
      </w:tblGrid>
      <w:tr w:rsidR="002150F4" w:rsidRPr="00660746" w:rsidTr="002150F4">
        <w:trPr>
          <w:trHeight w:val="169"/>
        </w:trPr>
        <w:tc>
          <w:tcPr>
            <w:tcW w:w="2273" w:type="dxa"/>
            <w:tcBorders>
              <w:top w:val="nil"/>
              <w:left w:val="single" w:sz="4" w:space="0" w:color="4F81BD"/>
              <w:bottom w:val="single" w:sz="4" w:space="0" w:color="4F81BD"/>
              <w:right w:val="single" w:sz="4" w:space="0" w:color="4F81BD"/>
            </w:tcBorders>
            <w:shd w:val="clear" w:color="000000" w:fill="538ED5"/>
            <w:vAlign w:val="center"/>
            <w:hideMark/>
          </w:tcPr>
          <w:p w:rsidR="002150F4" w:rsidRPr="002150F4" w:rsidRDefault="002150F4" w:rsidP="002150F4">
            <w:pPr>
              <w:spacing w:after="0" w:line="240" w:lineRule="auto"/>
              <w:jc w:val="center"/>
              <w:rPr>
                <w:rFonts w:eastAsia="Times New Roman" w:cstheme="minorHAnsi"/>
                <w:b/>
                <w:color w:val="FFFFFF"/>
                <w:lang w:val="en-GB" w:eastAsia="ru-RU"/>
              </w:rPr>
            </w:pPr>
            <w:r w:rsidRPr="002150F4">
              <w:rPr>
                <w:rFonts w:eastAsia="Times New Roman" w:cstheme="minorHAnsi"/>
                <w:b/>
                <w:color w:val="FFFFFF"/>
                <w:lang w:val="en-GB" w:eastAsia="ru-RU"/>
              </w:rPr>
              <w:t>Name</w:t>
            </w:r>
          </w:p>
        </w:tc>
        <w:tc>
          <w:tcPr>
            <w:tcW w:w="2268" w:type="dxa"/>
            <w:tcBorders>
              <w:top w:val="nil"/>
              <w:left w:val="nil"/>
              <w:bottom w:val="single" w:sz="4" w:space="0" w:color="4F81BD"/>
              <w:right w:val="single" w:sz="4" w:space="0" w:color="4F81BD"/>
            </w:tcBorders>
            <w:shd w:val="clear" w:color="000000" w:fill="538ED5"/>
            <w:vAlign w:val="center"/>
            <w:hideMark/>
          </w:tcPr>
          <w:p w:rsidR="002150F4" w:rsidRPr="002150F4" w:rsidRDefault="002150F4" w:rsidP="00A938C4">
            <w:pPr>
              <w:spacing w:after="0" w:line="240" w:lineRule="auto"/>
              <w:jc w:val="center"/>
              <w:rPr>
                <w:rFonts w:eastAsia="Times New Roman" w:cstheme="minorHAnsi"/>
                <w:b/>
                <w:color w:val="FFFFFF"/>
                <w:lang w:val="en-GB" w:eastAsia="ru-RU"/>
              </w:rPr>
            </w:pPr>
            <w:r w:rsidRPr="002150F4">
              <w:rPr>
                <w:rFonts w:eastAsia="Times New Roman" w:cstheme="minorHAnsi"/>
                <w:b/>
                <w:color w:val="FFFFFF"/>
                <w:lang w:val="en-GB" w:eastAsia="ru-RU"/>
              </w:rPr>
              <w:t>In</w:t>
            </w:r>
            <w:r w:rsidR="00A938C4" w:rsidRPr="00660746">
              <w:rPr>
                <w:rFonts w:eastAsia="Times New Roman" w:cstheme="minorHAnsi"/>
                <w:b/>
                <w:color w:val="FFFFFF"/>
                <w:lang w:val="en-GB" w:eastAsia="ru-RU"/>
              </w:rPr>
              <w:t xml:space="preserve">stalled capacity, MW </w:t>
            </w:r>
            <w:r w:rsidRPr="002150F4">
              <w:rPr>
                <w:rFonts w:eastAsia="Times New Roman" w:cstheme="minorHAnsi"/>
                <w:b/>
                <w:color w:val="FFFFFF"/>
                <w:lang w:val="en-GB" w:eastAsia="ru-RU"/>
              </w:rPr>
              <w:t>(in 2013)</w:t>
            </w:r>
          </w:p>
        </w:tc>
        <w:tc>
          <w:tcPr>
            <w:tcW w:w="5954" w:type="dxa"/>
            <w:tcBorders>
              <w:top w:val="nil"/>
              <w:left w:val="nil"/>
              <w:bottom w:val="single" w:sz="4" w:space="0" w:color="4F81BD"/>
              <w:right w:val="single" w:sz="4" w:space="0" w:color="4F81BD"/>
            </w:tcBorders>
            <w:shd w:val="clear" w:color="000000" w:fill="538ED5"/>
            <w:noWrap/>
            <w:vAlign w:val="center"/>
            <w:hideMark/>
          </w:tcPr>
          <w:p w:rsidR="002150F4" w:rsidRPr="002150F4" w:rsidRDefault="002150F4" w:rsidP="002150F4">
            <w:pPr>
              <w:spacing w:after="0" w:line="240" w:lineRule="auto"/>
              <w:jc w:val="center"/>
              <w:rPr>
                <w:rFonts w:eastAsia="Times New Roman" w:cstheme="minorHAnsi"/>
                <w:b/>
                <w:color w:val="FFFFFF"/>
                <w:lang w:val="en-GB" w:eastAsia="ru-RU"/>
              </w:rPr>
            </w:pPr>
            <w:r w:rsidRPr="002150F4">
              <w:rPr>
                <w:rFonts w:eastAsia="Times New Roman" w:cstheme="minorHAnsi"/>
                <w:b/>
                <w:color w:val="FFFFFF"/>
                <w:lang w:val="en-GB" w:eastAsia="ru-RU"/>
              </w:rPr>
              <w:t>Company</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Tuzlovska</w:t>
            </w:r>
            <w:proofErr w:type="spellEnd"/>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12,5</w:t>
            </w:r>
          </w:p>
        </w:tc>
        <w:tc>
          <w:tcPr>
            <w:tcW w:w="5954" w:type="dxa"/>
            <w:tcBorders>
              <w:top w:val="nil"/>
              <w:left w:val="nil"/>
              <w:bottom w:val="single" w:sz="4" w:space="0" w:color="4F81BD"/>
              <w:right w:val="single" w:sz="4" w:space="0" w:color="4F81BD"/>
            </w:tcBorders>
            <w:shd w:val="clear" w:color="DBE5F1" w:fill="DBE5F1"/>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LLC "Management Company</w:t>
            </w:r>
            <w:r w:rsidRPr="002150F4">
              <w:rPr>
                <w:rFonts w:eastAsia="Times New Roman" w:cstheme="minorHAnsi"/>
                <w:color w:val="000000"/>
                <w:lang w:val="en-GB" w:eastAsia="ru-RU"/>
              </w:rPr>
              <w:br/>
              <w:t>"Wind Parks of Ukraine""</w:t>
            </w:r>
          </w:p>
        </w:tc>
      </w:tr>
      <w:tr w:rsidR="002150F4" w:rsidRPr="00660746"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Prisnovodnenska</w:t>
            </w:r>
            <w:proofErr w:type="spellEnd"/>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7,4</w:t>
            </w:r>
          </w:p>
        </w:tc>
        <w:tc>
          <w:tcPr>
            <w:tcW w:w="5954" w:type="dxa"/>
            <w:tcBorders>
              <w:top w:val="nil"/>
              <w:left w:val="nil"/>
              <w:bottom w:val="single" w:sz="4" w:space="0" w:color="4F81BD"/>
              <w:right w:val="single" w:sz="4" w:space="0" w:color="4F81BD"/>
            </w:tcBorders>
            <w:shd w:val="clear" w:color="auto" w:fill="auto"/>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VodEnergoRemNaladka</w:t>
            </w:r>
            <w:proofErr w:type="spellEnd"/>
            <w:r w:rsidRPr="002150F4">
              <w:rPr>
                <w:rFonts w:eastAsia="Times New Roman" w:cstheme="minorHAnsi"/>
                <w:color w:val="000000"/>
                <w:lang w:val="en-GB" w:eastAsia="ru-RU"/>
              </w:rPr>
              <w:t>"</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Ostaninska</w:t>
            </w:r>
            <w:proofErr w:type="spellEnd"/>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25</w:t>
            </w:r>
          </w:p>
        </w:tc>
        <w:tc>
          <w:tcPr>
            <w:tcW w:w="5954" w:type="dxa"/>
            <w:tcBorders>
              <w:top w:val="nil"/>
              <w:left w:val="nil"/>
              <w:bottom w:val="single" w:sz="4" w:space="0" w:color="4F81BD"/>
              <w:right w:val="single" w:sz="4" w:space="0" w:color="4F81BD"/>
            </w:tcBorders>
            <w:shd w:val="clear" w:color="DBE5F1" w:fill="DBE5F1"/>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LLC "Management Company</w:t>
            </w:r>
            <w:r w:rsidRPr="002150F4">
              <w:rPr>
                <w:rFonts w:eastAsia="Times New Roman" w:cstheme="minorHAnsi"/>
                <w:color w:val="000000"/>
                <w:lang w:val="en-GB" w:eastAsia="ru-RU"/>
              </w:rPr>
              <w:br/>
              <w:t>"Wind Parks of Ukraine""</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Shidno-Krymska</w:t>
            </w:r>
            <w:proofErr w:type="spellEnd"/>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2,8</w:t>
            </w:r>
          </w:p>
        </w:tc>
        <w:tc>
          <w:tcPr>
            <w:tcW w:w="5954" w:type="dxa"/>
            <w:tcBorders>
              <w:top w:val="nil"/>
              <w:left w:val="nil"/>
              <w:bottom w:val="single" w:sz="4" w:space="0" w:color="4F81BD"/>
              <w:right w:val="single" w:sz="4" w:space="0" w:color="4F81BD"/>
            </w:tcBorders>
            <w:shd w:val="clear" w:color="auto" w:fill="auto"/>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Krymski</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generuyuchi</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systemy</w:t>
            </w:r>
            <w:proofErr w:type="spellEnd"/>
            <w:r w:rsidRPr="002150F4">
              <w:rPr>
                <w:rFonts w:eastAsia="Times New Roman" w:cstheme="minorHAnsi"/>
                <w:color w:val="000000"/>
                <w:lang w:val="en-GB" w:eastAsia="ru-RU"/>
              </w:rPr>
              <w:t>"</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Prysivashska</w:t>
            </w:r>
            <w:proofErr w:type="spellEnd"/>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0 (25 is planned)*</w:t>
            </w:r>
          </w:p>
        </w:tc>
        <w:tc>
          <w:tcPr>
            <w:tcW w:w="5954" w:type="dxa"/>
            <w:tcBorders>
              <w:top w:val="nil"/>
              <w:left w:val="nil"/>
              <w:bottom w:val="single" w:sz="4" w:space="0" w:color="4F81BD"/>
              <w:right w:val="single" w:sz="4" w:space="0" w:color="4F81BD"/>
            </w:tcBorders>
            <w:shd w:val="clear" w:color="DBE5F1" w:fill="DBE5F1"/>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LLC "Management Company</w:t>
            </w:r>
            <w:r w:rsidRPr="002150F4">
              <w:rPr>
                <w:rFonts w:eastAsia="Times New Roman" w:cstheme="minorHAnsi"/>
                <w:color w:val="000000"/>
                <w:lang w:val="en-GB" w:eastAsia="ru-RU"/>
              </w:rPr>
              <w:br/>
              <w:t>"Wind Parks of Ukraine""</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Sudak</w:t>
            </w:r>
            <w:proofErr w:type="spellEnd"/>
            <w:r w:rsidRPr="002150F4">
              <w:rPr>
                <w:rFonts w:eastAsia="Times New Roman" w:cstheme="minorHAnsi"/>
                <w:color w:val="000000"/>
                <w:lang w:val="en-GB" w:eastAsia="ru-RU"/>
              </w:rPr>
              <w:t xml:space="preserve"> area)</w:t>
            </w:r>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3,8</w:t>
            </w:r>
          </w:p>
        </w:tc>
        <w:tc>
          <w:tcPr>
            <w:tcW w:w="5954" w:type="dxa"/>
            <w:tcBorders>
              <w:top w:val="nil"/>
              <w:left w:val="nil"/>
              <w:bottom w:val="single" w:sz="4" w:space="0" w:color="4F81BD"/>
              <w:right w:val="single" w:sz="4" w:space="0" w:color="4F81BD"/>
            </w:tcBorders>
            <w:shd w:val="clear" w:color="auto" w:fill="auto"/>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wind power station"</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Donuzlav</w:t>
            </w:r>
            <w:proofErr w:type="spellEnd"/>
            <w:r w:rsidRPr="002150F4">
              <w:rPr>
                <w:rFonts w:eastAsia="Times New Roman" w:cstheme="minorHAnsi"/>
                <w:color w:val="000000"/>
                <w:lang w:val="en-GB" w:eastAsia="ru-RU"/>
              </w:rPr>
              <w:t xml:space="preserve"> area)</w:t>
            </w:r>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6,7</w:t>
            </w:r>
          </w:p>
        </w:tc>
        <w:tc>
          <w:tcPr>
            <w:tcW w:w="5954" w:type="dxa"/>
            <w:tcBorders>
              <w:top w:val="nil"/>
              <w:left w:val="nil"/>
              <w:bottom w:val="single" w:sz="4" w:space="0" w:color="4F81BD"/>
              <w:right w:val="single" w:sz="4" w:space="0" w:color="4F81BD"/>
            </w:tcBorders>
            <w:shd w:val="clear" w:color="DBE5F1" w:fill="DBE5F1"/>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wind power station"</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Chornomorskyi</w:t>
            </w:r>
            <w:proofErr w:type="spellEnd"/>
            <w:r w:rsidRPr="002150F4">
              <w:rPr>
                <w:rFonts w:eastAsia="Times New Roman" w:cstheme="minorHAnsi"/>
                <w:color w:val="000000"/>
                <w:lang w:val="en-GB" w:eastAsia="ru-RU"/>
              </w:rPr>
              <w:t xml:space="preserve"> area)</w:t>
            </w:r>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1,2</w:t>
            </w:r>
          </w:p>
        </w:tc>
        <w:tc>
          <w:tcPr>
            <w:tcW w:w="5954" w:type="dxa"/>
            <w:tcBorders>
              <w:top w:val="nil"/>
              <w:left w:val="nil"/>
              <w:bottom w:val="single" w:sz="4" w:space="0" w:color="4F81BD"/>
              <w:right w:val="single" w:sz="4" w:space="0" w:color="4F81BD"/>
            </w:tcBorders>
            <w:shd w:val="clear" w:color="auto" w:fill="auto"/>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Donuzlavska</w:t>
            </w:r>
            <w:proofErr w:type="spellEnd"/>
            <w:r w:rsidRPr="002150F4">
              <w:rPr>
                <w:rFonts w:eastAsia="Times New Roman" w:cstheme="minorHAnsi"/>
                <w:color w:val="000000"/>
                <w:lang w:val="en-GB" w:eastAsia="ru-RU"/>
              </w:rPr>
              <w:t xml:space="preserve"> wind power station"</w:t>
            </w:r>
          </w:p>
        </w:tc>
      </w:tr>
      <w:tr w:rsidR="002150F4" w:rsidRPr="00660746"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Sakska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Vorobyevskyi</w:t>
            </w:r>
            <w:proofErr w:type="spellEnd"/>
            <w:r w:rsidRPr="002150F4">
              <w:rPr>
                <w:rFonts w:eastAsia="Times New Roman" w:cstheme="minorHAnsi"/>
                <w:color w:val="000000"/>
                <w:lang w:val="en-GB" w:eastAsia="ru-RU"/>
              </w:rPr>
              <w:t xml:space="preserve"> area)</w:t>
            </w:r>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2,4</w:t>
            </w:r>
          </w:p>
        </w:tc>
        <w:tc>
          <w:tcPr>
            <w:tcW w:w="5954" w:type="dxa"/>
            <w:tcBorders>
              <w:top w:val="nil"/>
              <w:left w:val="nil"/>
              <w:bottom w:val="single" w:sz="4" w:space="0" w:color="4F81BD"/>
              <w:right w:val="single" w:sz="4" w:space="0" w:color="4F81BD"/>
            </w:tcBorders>
            <w:shd w:val="clear" w:color="DBE5F1" w:fill="DBE5F1"/>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VodEnergoRemNaladka</w:t>
            </w:r>
            <w:proofErr w:type="spellEnd"/>
            <w:r w:rsidRPr="002150F4">
              <w:rPr>
                <w:rFonts w:eastAsia="Times New Roman" w:cstheme="minorHAnsi"/>
                <w:color w:val="000000"/>
                <w:lang w:val="en-GB" w:eastAsia="ru-RU"/>
              </w:rPr>
              <w:t>"</w:t>
            </w:r>
          </w:p>
        </w:tc>
      </w:tr>
      <w:tr w:rsidR="002150F4" w:rsidRPr="00660746"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Sakska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Mirnovskyi</w:t>
            </w:r>
            <w:proofErr w:type="spellEnd"/>
            <w:r w:rsidRPr="002150F4">
              <w:rPr>
                <w:rFonts w:eastAsia="Times New Roman" w:cstheme="minorHAnsi"/>
                <w:color w:val="000000"/>
                <w:lang w:val="en-GB" w:eastAsia="ru-RU"/>
              </w:rPr>
              <w:t xml:space="preserve"> area)</w:t>
            </w:r>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18,5</w:t>
            </w:r>
          </w:p>
        </w:tc>
        <w:tc>
          <w:tcPr>
            <w:tcW w:w="5954" w:type="dxa"/>
            <w:tcBorders>
              <w:top w:val="nil"/>
              <w:left w:val="nil"/>
              <w:bottom w:val="single" w:sz="4" w:space="0" w:color="4F81BD"/>
              <w:right w:val="single" w:sz="4" w:space="0" w:color="4F81BD"/>
            </w:tcBorders>
            <w:shd w:val="clear" w:color="auto" w:fill="auto"/>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Public enterprise "</w:t>
            </w:r>
            <w:proofErr w:type="spellStart"/>
            <w:r w:rsidRPr="002150F4">
              <w:rPr>
                <w:rFonts w:eastAsia="Times New Roman" w:cstheme="minorHAnsi"/>
                <w:color w:val="000000"/>
                <w:lang w:val="en-GB" w:eastAsia="ru-RU"/>
              </w:rPr>
              <w:t>VodEnergoRemNaladka</w:t>
            </w:r>
            <w:proofErr w:type="spellEnd"/>
            <w:r w:rsidRPr="002150F4">
              <w:rPr>
                <w:rFonts w:eastAsia="Times New Roman" w:cstheme="minorHAnsi"/>
                <w:color w:val="000000"/>
                <w:lang w:val="en-GB" w:eastAsia="ru-RU"/>
              </w:rPr>
              <w:t>"</w:t>
            </w:r>
          </w:p>
        </w:tc>
      </w:tr>
      <w:tr w:rsidR="002150F4" w:rsidRPr="00660746" w:rsidTr="002150F4">
        <w:trPr>
          <w:trHeight w:val="70"/>
        </w:trPr>
        <w:tc>
          <w:tcPr>
            <w:tcW w:w="2273" w:type="dxa"/>
            <w:tcBorders>
              <w:top w:val="nil"/>
              <w:left w:val="single" w:sz="4" w:space="0" w:color="4F81BD"/>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Tarhankutska</w:t>
            </w:r>
            <w:proofErr w:type="spellEnd"/>
          </w:p>
        </w:tc>
        <w:tc>
          <w:tcPr>
            <w:tcW w:w="2268" w:type="dxa"/>
            <w:tcBorders>
              <w:top w:val="nil"/>
              <w:left w:val="nil"/>
              <w:bottom w:val="single" w:sz="4" w:space="0" w:color="4F81BD"/>
              <w:right w:val="single" w:sz="4" w:space="0" w:color="4F81BD"/>
            </w:tcBorders>
            <w:shd w:val="clear" w:color="DBE5F1" w:fill="DBE5F1"/>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20</w:t>
            </w:r>
          </w:p>
        </w:tc>
        <w:tc>
          <w:tcPr>
            <w:tcW w:w="5954" w:type="dxa"/>
            <w:tcBorders>
              <w:top w:val="nil"/>
              <w:left w:val="nil"/>
              <w:bottom w:val="single" w:sz="4" w:space="0" w:color="4F81BD"/>
              <w:right w:val="single" w:sz="4" w:space="0" w:color="4F81BD"/>
            </w:tcBorders>
            <w:shd w:val="clear" w:color="DBE5F1" w:fill="DBE5F1"/>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 xml:space="preserve">Public enterprise "28 </w:t>
            </w:r>
            <w:proofErr w:type="spellStart"/>
            <w:r w:rsidRPr="002150F4">
              <w:rPr>
                <w:rFonts w:eastAsia="Times New Roman" w:cstheme="minorHAnsi"/>
                <w:color w:val="000000"/>
                <w:lang w:val="en-GB" w:eastAsia="ru-RU"/>
              </w:rPr>
              <w:t>Upravleniye</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nachalnika</w:t>
            </w:r>
            <w:proofErr w:type="spellEnd"/>
            <w:r w:rsidRPr="002150F4">
              <w:rPr>
                <w:rFonts w:eastAsia="Times New Roman" w:cstheme="minorHAnsi"/>
                <w:color w:val="000000"/>
                <w:lang w:val="en-GB" w:eastAsia="ru-RU"/>
              </w:rPr>
              <w:t xml:space="preserve"> </w:t>
            </w:r>
            <w:proofErr w:type="spellStart"/>
            <w:r w:rsidRPr="002150F4">
              <w:rPr>
                <w:rFonts w:eastAsia="Times New Roman" w:cstheme="minorHAnsi"/>
                <w:color w:val="000000"/>
                <w:lang w:val="en-GB" w:eastAsia="ru-RU"/>
              </w:rPr>
              <w:t>rabot</w:t>
            </w:r>
            <w:proofErr w:type="spellEnd"/>
            <w:r w:rsidRPr="002150F4">
              <w:rPr>
                <w:rFonts w:eastAsia="Times New Roman" w:cstheme="minorHAnsi"/>
                <w:color w:val="000000"/>
                <w:lang w:val="en-GB" w:eastAsia="ru-RU"/>
              </w:rPr>
              <w:t>"</w:t>
            </w:r>
          </w:p>
        </w:tc>
      </w:tr>
      <w:tr w:rsidR="002150F4" w:rsidRPr="009709B7" w:rsidTr="002150F4">
        <w:trPr>
          <w:trHeight w:val="70"/>
        </w:trPr>
        <w:tc>
          <w:tcPr>
            <w:tcW w:w="2273" w:type="dxa"/>
            <w:tcBorders>
              <w:top w:val="nil"/>
              <w:left w:val="single" w:sz="4" w:space="0" w:color="4F81BD"/>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proofErr w:type="spellStart"/>
            <w:r w:rsidRPr="002150F4">
              <w:rPr>
                <w:rFonts w:eastAsia="Times New Roman" w:cstheme="minorHAnsi"/>
                <w:color w:val="000000"/>
                <w:lang w:val="en-GB" w:eastAsia="ru-RU"/>
              </w:rPr>
              <w:t>Zahidno-Krymska</w:t>
            </w:r>
            <w:proofErr w:type="spellEnd"/>
          </w:p>
        </w:tc>
        <w:tc>
          <w:tcPr>
            <w:tcW w:w="2268" w:type="dxa"/>
            <w:tcBorders>
              <w:top w:val="nil"/>
              <w:left w:val="nil"/>
              <w:bottom w:val="single" w:sz="4" w:space="0" w:color="4F81BD"/>
              <w:right w:val="single" w:sz="4" w:space="0" w:color="4F81BD"/>
            </w:tcBorders>
            <w:shd w:val="clear" w:color="auto" w:fill="auto"/>
            <w:noWrap/>
            <w:vAlign w:val="center"/>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125*</w:t>
            </w:r>
            <w:r w:rsidRPr="00660746">
              <w:rPr>
                <w:rFonts w:eastAsia="Times New Roman" w:cstheme="minorHAnsi"/>
                <w:color w:val="000000"/>
                <w:lang w:val="en-GB" w:eastAsia="ru-RU"/>
              </w:rPr>
              <w:t>*</w:t>
            </w:r>
          </w:p>
        </w:tc>
        <w:tc>
          <w:tcPr>
            <w:tcW w:w="5954" w:type="dxa"/>
            <w:tcBorders>
              <w:top w:val="nil"/>
              <w:left w:val="nil"/>
              <w:bottom w:val="single" w:sz="4" w:space="0" w:color="4F81BD"/>
              <w:right w:val="single" w:sz="4" w:space="0" w:color="4F81BD"/>
            </w:tcBorders>
            <w:shd w:val="clear" w:color="auto" w:fill="auto"/>
            <w:vAlign w:val="bottom"/>
            <w:hideMark/>
          </w:tcPr>
          <w:p w:rsidR="002150F4" w:rsidRPr="002150F4" w:rsidRDefault="002150F4" w:rsidP="002150F4">
            <w:pPr>
              <w:spacing w:after="0" w:line="240" w:lineRule="auto"/>
              <w:jc w:val="center"/>
              <w:rPr>
                <w:rFonts w:eastAsia="Times New Roman" w:cstheme="minorHAnsi"/>
                <w:color w:val="000000"/>
                <w:lang w:val="en-GB" w:eastAsia="ru-RU"/>
              </w:rPr>
            </w:pPr>
            <w:r w:rsidRPr="002150F4">
              <w:rPr>
                <w:rFonts w:eastAsia="Times New Roman" w:cstheme="minorHAnsi"/>
                <w:color w:val="000000"/>
                <w:lang w:val="en-GB" w:eastAsia="ru-RU"/>
              </w:rPr>
              <w:t>LLC "</w:t>
            </w:r>
            <w:proofErr w:type="spellStart"/>
            <w:r w:rsidRPr="002150F4">
              <w:rPr>
                <w:rFonts w:eastAsia="Times New Roman" w:cstheme="minorHAnsi"/>
                <w:color w:val="000000"/>
                <w:lang w:val="en-GB" w:eastAsia="ru-RU"/>
              </w:rPr>
              <w:t>Zahidno-Krymska</w:t>
            </w:r>
            <w:proofErr w:type="spellEnd"/>
            <w:r w:rsidRPr="002150F4">
              <w:rPr>
                <w:rFonts w:eastAsia="Times New Roman" w:cstheme="minorHAnsi"/>
                <w:color w:val="000000"/>
                <w:lang w:val="en-GB" w:eastAsia="ru-RU"/>
              </w:rPr>
              <w:t xml:space="preserve"> wind power station"</w:t>
            </w:r>
          </w:p>
        </w:tc>
      </w:tr>
    </w:tbl>
    <w:p w:rsidR="003675BD" w:rsidRPr="00660746" w:rsidRDefault="002150F4" w:rsidP="003675BD">
      <w:pPr>
        <w:spacing w:after="0"/>
        <w:jc w:val="both"/>
        <w:rPr>
          <w:rFonts w:cstheme="minorHAnsi"/>
          <w:lang w:val="en-GB"/>
        </w:rPr>
      </w:pPr>
      <w:r w:rsidRPr="002150F4">
        <w:rPr>
          <w:rFonts w:eastAsia="Times New Roman" w:cstheme="minorHAnsi"/>
          <w:color w:val="000000"/>
          <w:lang w:val="en-GB" w:eastAsia="ru-RU"/>
        </w:rPr>
        <w:t>* is under construction</w:t>
      </w:r>
    </w:p>
    <w:p w:rsidR="003675BD" w:rsidRPr="00660746" w:rsidRDefault="002150F4" w:rsidP="003675BD">
      <w:pPr>
        <w:spacing w:after="0"/>
        <w:jc w:val="both"/>
        <w:rPr>
          <w:rFonts w:cstheme="minorHAnsi"/>
          <w:lang w:val="en-GB"/>
        </w:rPr>
      </w:pPr>
      <w:r w:rsidRPr="002150F4">
        <w:rPr>
          <w:rFonts w:eastAsia="Times New Roman" w:cstheme="minorHAnsi"/>
          <w:color w:val="000000"/>
          <w:lang w:val="en-GB" w:eastAsia="ru-RU"/>
        </w:rPr>
        <w:t>**is in the process of connection to the joint power system</w:t>
      </w:r>
    </w:p>
    <w:p w:rsidR="003675BD" w:rsidRPr="00660746" w:rsidRDefault="003675BD" w:rsidP="003675BD">
      <w:pPr>
        <w:spacing w:after="0"/>
        <w:jc w:val="both"/>
        <w:rPr>
          <w:lang w:val="en-GB"/>
        </w:rPr>
      </w:pPr>
    </w:p>
    <w:p w:rsidR="00A938C4" w:rsidRPr="00660746" w:rsidRDefault="00A938C4" w:rsidP="00A938C4">
      <w:pPr>
        <w:spacing w:after="0" w:line="240" w:lineRule="auto"/>
        <w:jc w:val="both"/>
        <w:rPr>
          <w:rFonts w:ascii="Calibri" w:eastAsia="Times New Roman" w:hAnsi="Calibri" w:cs="Calibri"/>
          <w:color w:val="FFFFFF"/>
          <w:lang w:val="en-GB" w:eastAsia="ru-RU"/>
        </w:rPr>
      </w:pPr>
      <w:r w:rsidRPr="00660746">
        <w:rPr>
          <w:rFonts w:cstheme="minorHAnsi"/>
          <w:b/>
          <w:color w:val="000000"/>
          <w:szCs w:val="20"/>
          <w:shd w:val="clear" w:color="auto" w:fill="FFFFFF"/>
          <w:lang w:val="en-GB"/>
        </w:rPr>
        <w:t>Table 3</w:t>
      </w:r>
      <w:r w:rsidRPr="00660746">
        <w:rPr>
          <w:rFonts w:ascii="Calibri" w:eastAsia="Times New Roman" w:hAnsi="Calibri" w:cs="Calibri"/>
          <w:color w:val="FFFFFF"/>
          <w:lang w:val="en-GB" w:eastAsia="ru-RU"/>
        </w:rPr>
        <w:t xml:space="preserve"> </w:t>
      </w:r>
    </w:p>
    <w:p w:rsidR="00A938C4" w:rsidRPr="00660746" w:rsidRDefault="00A938C4" w:rsidP="00A938C4">
      <w:pPr>
        <w:spacing w:after="0"/>
        <w:jc w:val="center"/>
        <w:rPr>
          <w:b/>
          <w:lang w:val="en-GB"/>
        </w:rPr>
      </w:pPr>
      <w:r w:rsidRPr="00A938C4">
        <w:rPr>
          <w:rFonts w:ascii="Calibri" w:eastAsia="Times New Roman" w:hAnsi="Calibri" w:cs="Calibri"/>
          <w:b/>
          <w:lang w:val="en-GB" w:eastAsia="ru-RU"/>
        </w:rPr>
        <w:t>Largest solar power stations situated in Crimean Peninsula</w:t>
      </w:r>
    </w:p>
    <w:tbl>
      <w:tblPr>
        <w:tblW w:w="10490" w:type="dxa"/>
        <w:tblInd w:w="108" w:type="dxa"/>
        <w:tblLook w:val="04A0" w:firstRow="1" w:lastRow="0" w:firstColumn="1" w:lastColumn="0" w:noHBand="0" w:noVBand="1"/>
      </w:tblPr>
      <w:tblGrid>
        <w:gridCol w:w="4536"/>
        <w:gridCol w:w="2268"/>
        <w:gridCol w:w="3686"/>
      </w:tblGrid>
      <w:tr w:rsidR="00A938C4" w:rsidRPr="00A938C4" w:rsidTr="00A938C4">
        <w:trPr>
          <w:trHeight w:val="600"/>
        </w:trPr>
        <w:tc>
          <w:tcPr>
            <w:tcW w:w="4536" w:type="dxa"/>
            <w:tcBorders>
              <w:top w:val="nil"/>
              <w:left w:val="single" w:sz="4" w:space="0" w:color="4F81BD"/>
              <w:bottom w:val="single" w:sz="4" w:space="0" w:color="4F81BD"/>
              <w:right w:val="single" w:sz="4" w:space="0" w:color="4F81BD"/>
            </w:tcBorders>
            <w:shd w:val="clear" w:color="000000" w:fill="538ED5"/>
            <w:vAlign w:val="center"/>
            <w:hideMark/>
          </w:tcPr>
          <w:p w:rsidR="00A938C4" w:rsidRPr="00A938C4" w:rsidRDefault="00A938C4" w:rsidP="00A938C4">
            <w:pPr>
              <w:spacing w:after="0" w:line="240" w:lineRule="auto"/>
              <w:jc w:val="center"/>
              <w:rPr>
                <w:rFonts w:ascii="Calibri" w:eastAsia="Times New Roman" w:hAnsi="Calibri" w:cs="Calibri"/>
                <w:b/>
                <w:color w:val="FFFFFF"/>
                <w:lang w:val="en-GB" w:eastAsia="ru-RU"/>
              </w:rPr>
            </w:pPr>
            <w:r w:rsidRPr="00A938C4">
              <w:rPr>
                <w:rFonts w:ascii="Calibri" w:eastAsia="Times New Roman" w:hAnsi="Calibri" w:cs="Calibri"/>
                <w:b/>
                <w:color w:val="FFFFFF"/>
                <w:lang w:val="en-GB" w:eastAsia="ru-RU"/>
              </w:rPr>
              <w:t>Name</w:t>
            </w:r>
          </w:p>
        </w:tc>
        <w:tc>
          <w:tcPr>
            <w:tcW w:w="2268" w:type="dxa"/>
            <w:tcBorders>
              <w:top w:val="nil"/>
              <w:left w:val="nil"/>
              <w:bottom w:val="single" w:sz="4" w:space="0" w:color="4F81BD"/>
              <w:right w:val="single" w:sz="4" w:space="0" w:color="4F81BD"/>
            </w:tcBorders>
            <w:shd w:val="clear" w:color="000000" w:fill="538ED5"/>
            <w:vAlign w:val="center"/>
            <w:hideMark/>
          </w:tcPr>
          <w:p w:rsidR="00A938C4" w:rsidRPr="00A938C4" w:rsidRDefault="00A938C4" w:rsidP="00A938C4">
            <w:pPr>
              <w:spacing w:after="0" w:line="240" w:lineRule="auto"/>
              <w:jc w:val="center"/>
              <w:rPr>
                <w:rFonts w:ascii="Calibri" w:eastAsia="Times New Roman" w:hAnsi="Calibri" w:cs="Calibri"/>
                <w:b/>
                <w:color w:val="FFFFFF"/>
                <w:lang w:val="en-GB" w:eastAsia="ru-RU"/>
              </w:rPr>
            </w:pPr>
            <w:r w:rsidRPr="00A938C4">
              <w:rPr>
                <w:rFonts w:ascii="Calibri" w:eastAsia="Times New Roman" w:hAnsi="Calibri" w:cs="Calibri"/>
                <w:b/>
                <w:color w:val="FFFFFF"/>
                <w:lang w:val="en-GB" w:eastAsia="ru-RU"/>
              </w:rPr>
              <w:t>Installed capacity, MW (in 2013)</w:t>
            </w:r>
          </w:p>
        </w:tc>
        <w:tc>
          <w:tcPr>
            <w:tcW w:w="3686" w:type="dxa"/>
            <w:tcBorders>
              <w:top w:val="nil"/>
              <w:left w:val="nil"/>
              <w:bottom w:val="single" w:sz="4" w:space="0" w:color="4F81BD"/>
              <w:right w:val="single" w:sz="4" w:space="0" w:color="4F81BD"/>
            </w:tcBorders>
            <w:shd w:val="clear" w:color="000000" w:fill="538ED5"/>
            <w:noWrap/>
            <w:vAlign w:val="center"/>
            <w:hideMark/>
          </w:tcPr>
          <w:p w:rsidR="00A938C4" w:rsidRPr="00A938C4" w:rsidRDefault="00A938C4" w:rsidP="00A938C4">
            <w:pPr>
              <w:spacing w:after="0" w:line="240" w:lineRule="auto"/>
              <w:jc w:val="center"/>
              <w:rPr>
                <w:rFonts w:ascii="Calibri" w:eastAsia="Times New Roman" w:hAnsi="Calibri" w:cs="Calibri"/>
                <w:b/>
                <w:color w:val="FFFFFF"/>
                <w:lang w:val="en-GB" w:eastAsia="ru-RU"/>
              </w:rPr>
            </w:pPr>
            <w:r w:rsidRPr="00A938C4">
              <w:rPr>
                <w:rFonts w:ascii="Calibri" w:eastAsia="Times New Roman" w:hAnsi="Calibri" w:cs="Calibri"/>
                <w:b/>
                <w:color w:val="FFFFFF"/>
                <w:lang w:val="en-GB" w:eastAsia="ru-RU"/>
              </w:rPr>
              <w:t>Company</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Vladislavovka</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25,0 (110,0 is planned)</w:t>
            </w:r>
          </w:p>
        </w:tc>
        <w:tc>
          <w:tcPr>
            <w:tcW w:w="3686" w:type="dxa"/>
            <w:tcBorders>
              <w:top w:val="nil"/>
              <w:left w:val="nil"/>
              <w:bottom w:val="single" w:sz="4" w:space="0" w:color="95B3D7"/>
              <w:right w:val="single" w:sz="4" w:space="0" w:color="95B3D7"/>
            </w:tcBorders>
            <w:shd w:val="clear" w:color="auto" w:fill="auto"/>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Rodnikovoe</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7,5</w:t>
            </w:r>
          </w:p>
        </w:tc>
        <w:tc>
          <w:tcPr>
            <w:tcW w:w="3686" w:type="dxa"/>
            <w:tcBorders>
              <w:top w:val="nil"/>
              <w:left w:val="nil"/>
              <w:bottom w:val="single" w:sz="4" w:space="0" w:color="95B3D7"/>
              <w:right w:val="single" w:sz="4" w:space="0" w:color="95B3D7"/>
            </w:tcBorders>
            <w:shd w:val="clear" w:color="DBE5F1" w:fill="DBE5F1"/>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Perovo</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106</w:t>
            </w:r>
          </w:p>
        </w:tc>
        <w:tc>
          <w:tcPr>
            <w:tcW w:w="3686" w:type="dxa"/>
            <w:tcBorders>
              <w:top w:val="nil"/>
              <w:left w:val="nil"/>
              <w:bottom w:val="single" w:sz="4" w:space="0" w:color="95B3D7"/>
              <w:right w:val="single" w:sz="4" w:space="0" w:color="95B3D7"/>
            </w:tcBorders>
            <w:shd w:val="clear" w:color="auto" w:fill="auto"/>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Nikolaevka</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69,7*</w:t>
            </w:r>
          </w:p>
        </w:tc>
        <w:tc>
          <w:tcPr>
            <w:tcW w:w="3686" w:type="dxa"/>
            <w:tcBorders>
              <w:top w:val="nil"/>
              <w:left w:val="nil"/>
              <w:bottom w:val="single" w:sz="4" w:space="0" w:color="95B3D7"/>
              <w:right w:val="single" w:sz="4" w:space="0" w:color="95B3D7"/>
            </w:tcBorders>
            <w:shd w:val="clear" w:color="DBE5F1" w:fill="DBE5F1"/>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Mityaevo</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31,6</w:t>
            </w:r>
          </w:p>
        </w:tc>
        <w:tc>
          <w:tcPr>
            <w:tcW w:w="3686" w:type="dxa"/>
            <w:tcBorders>
              <w:top w:val="nil"/>
              <w:left w:val="nil"/>
              <w:bottom w:val="single" w:sz="4" w:space="0" w:color="95B3D7"/>
              <w:right w:val="single" w:sz="4" w:space="0" w:color="95B3D7"/>
            </w:tcBorders>
            <w:shd w:val="clear" w:color="auto" w:fill="auto"/>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Ohotnikovo</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82,7</w:t>
            </w:r>
          </w:p>
        </w:tc>
        <w:tc>
          <w:tcPr>
            <w:tcW w:w="3686" w:type="dxa"/>
            <w:tcBorders>
              <w:top w:val="nil"/>
              <w:left w:val="nil"/>
              <w:bottom w:val="single" w:sz="4" w:space="0" w:color="95B3D7"/>
              <w:right w:val="single" w:sz="4" w:space="0" w:color="95B3D7"/>
            </w:tcBorders>
            <w:shd w:val="clear" w:color="DBE5F1" w:fill="DBE5F1"/>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Active Solar GmbH</w:t>
            </w:r>
          </w:p>
        </w:tc>
      </w:tr>
      <w:tr w:rsidR="00A938C4" w:rsidRPr="009709B7" w:rsidTr="00A938C4">
        <w:trPr>
          <w:trHeight w:val="300"/>
        </w:trPr>
        <w:tc>
          <w:tcPr>
            <w:tcW w:w="4536" w:type="dxa"/>
            <w:tcBorders>
              <w:top w:val="nil"/>
              <w:left w:val="single" w:sz="4" w:space="0" w:color="95B3D7"/>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w:t>
            </w:r>
            <w:proofErr w:type="spellStart"/>
            <w:r w:rsidRPr="00A938C4">
              <w:rPr>
                <w:rFonts w:ascii="Calibri" w:eastAsia="Times New Roman" w:hAnsi="Calibri" w:cs="Calibri"/>
                <w:color w:val="000000"/>
                <w:lang w:val="en-GB" w:eastAsia="ru-RU"/>
              </w:rPr>
              <w:t>Kovylnoe</w:t>
            </w:r>
            <w:proofErr w:type="spellEnd"/>
            <w:r w:rsidRPr="00A938C4">
              <w:rPr>
                <w:rFonts w:ascii="Calibri" w:eastAsia="Times New Roman" w:hAnsi="Calibri" w:cs="Calibri"/>
                <w:color w:val="000000"/>
                <w:lang w:val="en-GB" w:eastAsia="ru-RU"/>
              </w:rPr>
              <w:t>"</w:t>
            </w:r>
          </w:p>
        </w:tc>
        <w:tc>
          <w:tcPr>
            <w:tcW w:w="2268" w:type="dxa"/>
            <w:tcBorders>
              <w:top w:val="nil"/>
              <w:left w:val="nil"/>
              <w:bottom w:val="single" w:sz="4" w:space="0" w:color="95B3D7"/>
              <w:right w:val="nil"/>
            </w:tcBorders>
            <w:shd w:val="clear" w:color="auto" w:fill="auto"/>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12</w:t>
            </w:r>
          </w:p>
        </w:tc>
        <w:tc>
          <w:tcPr>
            <w:tcW w:w="3686" w:type="dxa"/>
            <w:tcBorders>
              <w:top w:val="nil"/>
              <w:left w:val="nil"/>
              <w:bottom w:val="single" w:sz="4" w:space="0" w:color="95B3D7"/>
              <w:right w:val="single" w:sz="4" w:space="0" w:color="95B3D7"/>
            </w:tcBorders>
            <w:shd w:val="clear" w:color="auto" w:fill="auto"/>
            <w:noWrap/>
            <w:vAlign w:val="bottom"/>
            <w:hideMark/>
          </w:tcPr>
          <w:p w:rsidR="00A938C4" w:rsidRPr="00AD7776" w:rsidRDefault="00A938C4" w:rsidP="00A938C4">
            <w:pPr>
              <w:spacing w:after="0" w:line="240" w:lineRule="auto"/>
              <w:rPr>
                <w:rFonts w:ascii="Calibri" w:eastAsia="Times New Roman" w:hAnsi="Calibri" w:cs="Calibri"/>
                <w:color w:val="000000"/>
                <w:lang w:val="nl-NL" w:eastAsia="ru-RU"/>
              </w:rPr>
            </w:pPr>
            <w:r w:rsidRPr="00AD7776">
              <w:rPr>
                <w:rFonts w:ascii="Calibri" w:eastAsia="Times New Roman" w:hAnsi="Calibri" w:cs="Calibri"/>
                <w:color w:val="000000"/>
                <w:lang w:val="nl-NL" w:eastAsia="ru-RU"/>
              </w:rPr>
              <w:t>Ekotechnik</w:t>
            </w:r>
            <w:r w:rsidR="00DD55F9" w:rsidRPr="00AD7776">
              <w:rPr>
                <w:rFonts w:ascii="Calibri" w:eastAsia="Times New Roman" w:hAnsi="Calibri" w:cs="Calibri"/>
                <w:color w:val="000000"/>
                <w:lang w:val="nl-NL" w:eastAsia="ru-RU"/>
              </w:rPr>
              <w:t xml:space="preserve"> Czech</w:t>
            </w:r>
            <w:r w:rsidRPr="00AD7776">
              <w:rPr>
                <w:rFonts w:ascii="Calibri" w:eastAsia="Times New Roman" w:hAnsi="Calibri" w:cs="Calibri"/>
                <w:color w:val="000000"/>
                <w:lang w:val="nl-NL" w:eastAsia="ru-RU"/>
              </w:rPr>
              <w:t>, s.r.o.</w:t>
            </w:r>
          </w:p>
        </w:tc>
      </w:tr>
      <w:tr w:rsidR="00A938C4" w:rsidRPr="00A938C4" w:rsidTr="00A938C4">
        <w:trPr>
          <w:trHeight w:val="300"/>
        </w:trPr>
        <w:tc>
          <w:tcPr>
            <w:tcW w:w="4536" w:type="dxa"/>
            <w:tcBorders>
              <w:top w:val="nil"/>
              <w:left w:val="single" w:sz="4" w:space="0" w:color="95B3D7"/>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Solar power plant in Sevastopol</w:t>
            </w:r>
          </w:p>
        </w:tc>
        <w:tc>
          <w:tcPr>
            <w:tcW w:w="2268" w:type="dxa"/>
            <w:tcBorders>
              <w:top w:val="nil"/>
              <w:left w:val="nil"/>
              <w:bottom w:val="single" w:sz="4" w:space="0" w:color="95B3D7"/>
              <w:right w:val="nil"/>
            </w:tcBorders>
            <w:shd w:val="clear" w:color="DBE5F1" w:fill="DBE5F1"/>
            <w:noWrap/>
            <w:vAlign w:val="bottom"/>
            <w:hideMark/>
          </w:tcPr>
          <w:p w:rsidR="00A938C4" w:rsidRPr="00A938C4" w:rsidRDefault="00A938C4" w:rsidP="00A938C4">
            <w:pPr>
              <w:spacing w:after="0" w:line="240" w:lineRule="auto"/>
              <w:jc w:val="center"/>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2,2</w:t>
            </w:r>
          </w:p>
        </w:tc>
        <w:tc>
          <w:tcPr>
            <w:tcW w:w="3686" w:type="dxa"/>
            <w:tcBorders>
              <w:top w:val="nil"/>
              <w:left w:val="nil"/>
              <w:bottom w:val="single" w:sz="4" w:space="0" w:color="95B3D7"/>
              <w:right w:val="single" w:sz="4" w:space="0" w:color="95B3D7"/>
            </w:tcBorders>
            <w:shd w:val="clear" w:color="DBE5F1" w:fill="DBE5F1"/>
            <w:noWrap/>
            <w:vAlign w:val="bottom"/>
            <w:hideMark/>
          </w:tcPr>
          <w:p w:rsidR="00A938C4" w:rsidRPr="00A938C4" w:rsidRDefault="00A938C4" w:rsidP="00A938C4">
            <w:pPr>
              <w:spacing w:after="0" w:line="240" w:lineRule="auto"/>
              <w:rPr>
                <w:rFonts w:ascii="Calibri" w:eastAsia="Times New Roman" w:hAnsi="Calibri" w:cs="Calibri"/>
                <w:color w:val="000000"/>
                <w:lang w:val="en-GB" w:eastAsia="ru-RU"/>
              </w:rPr>
            </w:pPr>
            <w:r w:rsidRPr="00A938C4">
              <w:rPr>
                <w:rFonts w:ascii="Calibri" w:eastAsia="Times New Roman" w:hAnsi="Calibri" w:cs="Calibri"/>
                <w:color w:val="000000"/>
                <w:lang w:val="en-GB" w:eastAsia="ru-RU"/>
              </w:rPr>
              <w:t xml:space="preserve">LLC "VS Energy </w:t>
            </w:r>
            <w:r w:rsidR="006A1B83" w:rsidRPr="00A938C4">
              <w:rPr>
                <w:rFonts w:ascii="Calibri" w:eastAsia="Times New Roman" w:hAnsi="Calibri" w:cs="Calibri"/>
                <w:color w:val="000000"/>
                <w:lang w:val="en-GB" w:eastAsia="ru-RU"/>
              </w:rPr>
              <w:t>International</w:t>
            </w:r>
            <w:r w:rsidRPr="00A938C4">
              <w:rPr>
                <w:rFonts w:ascii="Calibri" w:eastAsia="Times New Roman" w:hAnsi="Calibri" w:cs="Calibri"/>
                <w:color w:val="000000"/>
                <w:lang w:val="en-GB" w:eastAsia="ru-RU"/>
              </w:rPr>
              <w:t xml:space="preserve"> Ukraine"</w:t>
            </w:r>
          </w:p>
        </w:tc>
      </w:tr>
    </w:tbl>
    <w:p w:rsidR="00A938C4" w:rsidRPr="00660746" w:rsidRDefault="00A938C4" w:rsidP="003675BD">
      <w:pPr>
        <w:spacing w:after="0"/>
        <w:jc w:val="both"/>
        <w:rPr>
          <w:lang w:val="en-GB"/>
        </w:rPr>
      </w:pPr>
      <w:r w:rsidRPr="00A938C4">
        <w:rPr>
          <w:rFonts w:ascii="Calibri" w:eastAsia="Times New Roman" w:hAnsi="Calibri" w:cs="Calibri"/>
          <w:color w:val="000000"/>
          <w:lang w:val="en-GB" w:eastAsia="ru-RU"/>
        </w:rPr>
        <w:t>*is in the process of connection to the joint power system</w:t>
      </w:r>
    </w:p>
    <w:p w:rsidR="003675BD" w:rsidRDefault="003675BD" w:rsidP="003675BD">
      <w:pPr>
        <w:spacing w:after="0"/>
        <w:jc w:val="both"/>
        <w:rPr>
          <w:lang w:val="en-US"/>
        </w:rPr>
      </w:pPr>
    </w:p>
    <w:p w:rsidR="00660746" w:rsidRDefault="00660746" w:rsidP="00660746">
      <w:pPr>
        <w:spacing w:after="0"/>
        <w:ind w:firstLine="708"/>
        <w:jc w:val="both"/>
        <w:rPr>
          <w:lang w:val="en-US"/>
        </w:rPr>
      </w:pPr>
      <w:r>
        <w:rPr>
          <w:lang w:val="en-US"/>
        </w:rPr>
        <w:t xml:space="preserve">It is important to mention that as of May 16, 2014, </w:t>
      </w:r>
      <w:r w:rsidR="00495838">
        <w:rPr>
          <w:lang w:val="en-US"/>
        </w:rPr>
        <w:t xml:space="preserve">all the solar power stations in Crimea, operated by </w:t>
      </w:r>
      <w:proofErr w:type="spellStart"/>
      <w:r w:rsidR="00495838">
        <w:rPr>
          <w:lang w:val="en-US"/>
        </w:rPr>
        <w:t>Activ</w:t>
      </w:r>
      <w:proofErr w:type="spellEnd"/>
      <w:r w:rsidR="00495838">
        <w:rPr>
          <w:lang w:val="en-US"/>
        </w:rPr>
        <w:t xml:space="preserve"> Solar, are halted. The press service of </w:t>
      </w:r>
      <w:proofErr w:type="spellStart"/>
      <w:r w:rsidR="00495838">
        <w:rPr>
          <w:lang w:val="en-US"/>
        </w:rPr>
        <w:t>Activ</w:t>
      </w:r>
      <w:proofErr w:type="spellEnd"/>
      <w:r w:rsidR="00495838">
        <w:rPr>
          <w:lang w:val="en-US"/>
        </w:rPr>
        <w:t xml:space="preserve"> Solar stated that the halt is caused by the regulatory uncertainty concerning renewable energy sector, the buyers of electric power are not specified and tariffs are not designed yet. Moreover, the new projects of the company are suspended. According to the Russian magazine “</w:t>
      </w:r>
      <w:proofErr w:type="spellStart"/>
      <w:r w:rsidR="00495838">
        <w:rPr>
          <w:lang w:val="en-US"/>
        </w:rPr>
        <w:t>Kommersant</w:t>
      </w:r>
      <w:proofErr w:type="spellEnd"/>
      <w:r w:rsidR="00495838">
        <w:rPr>
          <w:lang w:val="en-US"/>
        </w:rPr>
        <w:t xml:space="preserve">”, wind power stations located in Crimea are halted as well. </w:t>
      </w:r>
    </w:p>
    <w:p w:rsidR="006724AD" w:rsidRDefault="006724AD" w:rsidP="006724AD">
      <w:pPr>
        <w:spacing w:after="0"/>
        <w:jc w:val="both"/>
        <w:rPr>
          <w:b/>
          <w:lang w:val="en-US"/>
        </w:rPr>
      </w:pPr>
      <w:r w:rsidRPr="006724AD">
        <w:rPr>
          <w:b/>
          <w:lang w:val="en-US"/>
        </w:rPr>
        <w:t>Useful links</w:t>
      </w:r>
      <w:r>
        <w:rPr>
          <w:b/>
          <w:lang w:val="en-US"/>
        </w:rPr>
        <w:t>.</w:t>
      </w:r>
    </w:p>
    <w:p w:rsidR="006724AD" w:rsidRDefault="006724AD" w:rsidP="006724AD">
      <w:pPr>
        <w:spacing w:after="0"/>
        <w:jc w:val="both"/>
        <w:rPr>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97"/>
        <w:gridCol w:w="3483"/>
      </w:tblGrid>
      <w:tr w:rsidR="00203865" w:rsidRPr="00D14DAA" w:rsidTr="00203865">
        <w:trPr>
          <w:jc w:val="center"/>
        </w:trPr>
        <w:tc>
          <w:tcPr>
            <w:tcW w:w="2880" w:type="dxa"/>
          </w:tcPr>
          <w:p w:rsidR="00203865" w:rsidRPr="00D14DAA" w:rsidRDefault="00203865" w:rsidP="00D0571A">
            <w:pPr>
              <w:jc w:val="center"/>
              <w:rPr>
                <w:rFonts w:ascii="Calibri" w:eastAsia="Calibri" w:hAnsi="Calibri" w:cs="Times New Roman"/>
                <w:lang w:val="en-US"/>
              </w:rPr>
            </w:pPr>
            <w:r w:rsidRPr="00D14DAA">
              <w:rPr>
                <w:rFonts w:ascii="Calibri" w:eastAsia="Calibri" w:hAnsi="Calibri" w:cs="Times New Roman"/>
                <w:lang w:val="en-US"/>
              </w:rPr>
              <w:t>Name of the company</w:t>
            </w:r>
          </w:p>
        </w:tc>
        <w:tc>
          <w:tcPr>
            <w:tcW w:w="2997" w:type="dxa"/>
          </w:tcPr>
          <w:p w:rsidR="00203865" w:rsidRPr="00D14DAA" w:rsidRDefault="00203865" w:rsidP="006724AD">
            <w:pPr>
              <w:jc w:val="center"/>
              <w:rPr>
                <w:rFonts w:ascii="Calibri" w:eastAsia="Calibri" w:hAnsi="Calibri" w:cs="Times New Roman"/>
                <w:lang w:val="en-US"/>
              </w:rPr>
            </w:pPr>
            <w:r w:rsidRPr="00D14DAA">
              <w:rPr>
                <w:rFonts w:ascii="Calibri" w:eastAsia="Calibri" w:hAnsi="Calibri" w:cs="Times New Roman"/>
                <w:lang w:val="en-US"/>
              </w:rPr>
              <w:t>Address</w:t>
            </w:r>
          </w:p>
        </w:tc>
        <w:tc>
          <w:tcPr>
            <w:tcW w:w="3483" w:type="dxa"/>
          </w:tcPr>
          <w:p w:rsidR="00203865" w:rsidRPr="00D14DAA" w:rsidRDefault="00203865" w:rsidP="00D0571A">
            <w:pPr>
              <w:jc w:val="center"/>
              <w:rPr>
                <w:rFonts w:ascii="Calibri" w:eastAsia="Calibri" w:hAnsi="Calibri" w:cs="Times New Roman"/>
                <w:lang w:val="en-US"/>
              </w:rPr>
            </w:pPr>
            <w:r w:rsidRPr="00D14DAA">
              <w:rPr>
                <w:rFonts w:ascii="Calibri" w:eastAsia="Calibri" w:hAnsi="Calibri" w:cs="Times New Roman"/>
                <w:lang w:val="en-US"/>
              </w:rPr>
              <w:t>Tel., fax, e-mail</w:t>
            </w:r>
          </w:p>
        </w:tc>
      </w:tr>
      <w:tr w:rsidR="00203865" w:rsidRPr="009709B7" w:rsidTr="00203865">
        <w:trPr>
          <w:jc w:val="center"/>
        </w:trPr>
        <w:tc>
          <w:tcPr>
            <w:tcW w:w="2880" w:type="dxa"/>
          </w:tcPr>
          <w:p w:rsidR="00203865" w:rsidRPr="006724AD" w:rsidRDefault="00203865" w:rsidP="006724AD">
            <w:pPr>
              <w:spacing w:after="0"/>
              <w:jc w:val="center"/>
              <w:rPr>
                <w:rFonts w:ascii="Calibri" w:eastAsia="Calibri" w:hAnsi="Calibri" w:cs="Times New Roman"/>
                <w:b/>
                <w:lang w:val="en-US"/>
              </w:rPr>
            </w:pPr>
            <w:r w:rsidRPr="006724AD">
              <w:rPr>
                <w:b/>
              </w:rPr>
              <w:t>А</w:t>
            </w:r>
            <w:r w:rsidRPr="00AD7776">
              <w:rPr>
                <w:b/>
                <w:lang w:val="en-US"/>
              </w:rPr>
              <w:t>SSOCIATION OF ALTERNATIVE FUEL AND ENERGY MARKET PARTICIPANTS (APEU)</w:t>
            </w:r>
          </w:p>
        </w:tc>
        <w:tc>
          <w:tcPr>
            <w:tcW w:w="2997" w:type="dxa"/>
          </w:tcPr>
          <w:p w:rsidR="00203865" w:rsidRPr="00D14DAA" w:rsidRDefault="00203865" w:rsidP="00D0571A">
            <w:pPr>
              <w:rPr>
                <w:rFonts w:ascii="Calibri" w:eastAsia="Calibri" w:hAnsi="Calibri" w:cs="Times New Roman"/>
                <w:lang w:val="en-US"/>
              </w:rPr>
            </w:pPr>
            <w:r>
              <w:rPr>
                <w:lang w:val="en-US"/>
              </w:rPr>
              <w:t xml:space="preserve">121, </w:t>
            </w:r>
            <w:proofErr w:type="spellStart"/>
            <w:r>
              <w:rPr>
                <w:lang w:val="en-US"/>
              </w:rPr>
              <w:t>Saksaganskogo</w:t>
            </w:r>
            <w:proofErr w:type="spellEnd"/>
            <w:r>
              <w:rPr>
                <w:lang w:val="en-US"/>
              </w:rPr>
              <w:t xml:space="preserve"> Str., office 197, Kyiv, Ukraine</w:t>
            </w:r>
          </w:p>
        </w:tc>
        <w:tc>
          <w:tcPr>
            <w:tcW w:w="3483" w:type="dxa"/>
          </w:tcPr>
          <w:p w:rsidR="00203865" w:rsidRDefault="00203865" w:rsidP="000E4B1D">
            <w:pPr>
              <w:spacing w:after="0"/>
              <w:rPr>
                <w:lang w:val="en-US"/>
              </w:rPr>
            </w:pPr>
            <w:r>
              <w:rPr>
                <w:lang w:val="en-US"/>
              </w:rPr>
              <w:t>Tel.:</w:t>
            </w:r>
            <w:r>
              <w:rPr>
                <w:lang w:val="en-US"/>
              </w:rPr>
              <w:tab/>
            </w:r>
            <w:r w:rsidRPr="00AD7776">
              <w:rPr>
                <w:lang w:val="en-US"/>
              </w:rPr>
              <w:t>+380</w:t>
            </w:r>
            <w:r>
              <w:rPr>
                <w:lang w:val="en-US"/>
              </w:rPr>
              <w:t xml:space="preserve"> </w:t>
            </w:r>
            <w:r w:rsidRPr="00AD7776">
              <w:rPr>
                <w:lang w:val="en-US"/>
              </w:rPr>
              <w:t>44 362 04 90</w:t>
            </w:r>
          </w:p>
          <w:p w:rsidR="00203865" w:rsidRPr="00AD7776" w:rsidRDefault="00203865" w:rsidP="000E4B1D">
            <w:pPr>
              <w:spacing w:after="0"/>
              <w:rPr>
                <w:lang w:val="en-US"/>
              </w:rPr>
            </w:pPr>
            <w:r>
              <w:rPr>
                <w:lang w:val="en-US"/>
              </w:rPr>
              <w:t>Fax:</w:t>
            </w:r>
            <w:r>
              <w:rPr>
                <w:lang w:val="en-US"/>
              </w:rPr>
              <w:tab/>
            </w:r>
            <w:r w:rsidRPr="00AD7776">
              <w:rPr>
                <w:lang w:val="en-US"/>
              </w:rPr>
              <w:t>+380</w:t>
            </w:r>
            <w:r>
              <w:rPr>
                <w:lang w:val="en-US"/>
              </w:rPr>
              <w:t xml:space="preserve"> </w:t>
            </w:r>
            <w:r w:rsidRPr="00AD7776">
              <w:rPr>
                <w:lang w:val="en-US"/>
              </w:rPr>
              <w:t>44 596 97 10</w:t>
            </w:r>
          </w:p>
          <w:p w:rsidR="00203865" w:rsidRDefault="00EB2FBF" w:rsidP="000E4B1D">
            <w:pPr>
              <w:spacing w:after="0"/>
              <w:rPr>
                <w:lang w:val="en-US"/>
              </w:rPr>
            </w:pPr>
            <w:hyperlink r:id="rId46" w:history="1">
              <w:r w:rsidR="00203865" w:rsidRPr="00AD7776">
                <w:rPr>
                  <w:rStyle w:val="Lienhypertexte"/>
                  <w:lang w:val="en-US"/>
                </w:rPr>
                <w:t>info@apeu.info</w:t>
              </w:r>
            </w:hyperlink>
          </w:p>
          <w:p w:rsidR="00203865" w:rsidRPr="00203865" w:rsidRDefault="00EB2FBF" w:rsidP="000E4B1D">
            <w:pPr>
              <w:spacing w:after="0"/>
              <w:rPr>
                <w:rFonts w:ascii="Calibri" w:eastAsia="Calibri" w:hAnsi="Calibri" w:cs="Times New Roman"/>
                <w:lang w:val="en-US"/>
              </w:rPr>
            </w:pPr>
            <w:hyperlink r:id="rId47" w:history="1">
              <w:r w:rsidR="00203865" w:rsidRPr="00E041F8">
                <w:rPr>
                  <w:rStyle w:val="Lienhypertexte"/>
                  <w:rFonts w:ascii="Calibri" w:eastAsia="Calibri" w:hAnsi="Calibri" w:cs="Times New Roman"/>
                  <w:lang w:val="en-US"/>
                </w:rPr>
                <w:t>http://www.apeu.info/en/</w:t>
              </w:r>
            </w:hyperlink>
          </w:p>
        </w:tc>
      </w:tr>
    </w:tbl>
    <w:p w:rsidR="00660746" w:rsidRDefault="00660746" w:rsidP="003675BD">
      <w:pPr>
        <w:spacing w:after="0"/>
        <w:jc w:val="both"/>
        <w:rPr>
          <w:lang w:val="en-US"/>
        </w:rPr>
      </w:pPr>
    </w:p>
    <w:sectPr w:rsidR="00660746" w:rsidSect="00D63A98">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61" w:rsidRDefault="00891A61" w:rsidP="00D63A98">
      <w:pPr>
        <w:spacing w:after="0" w:line="240" w:lineRule="auto"/>
      </w:pPr>
      <w:r>
        <w:separator/>
      </w:r>
    </w:p>
  </w:endnote>
  <w:endnote w:type="continuationSeparator" w:id="0">
    <w:p w:rsidR="00891A61" w:rsidRDefault="00891A61" w:rsidP="00D6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586"/>
      <w:docPartObj>
        <w:docPartGallery w:val="Page Numbers (Bottom of Page)"/>
        <w:docPartUnique/>
      </w:docPartObj>
    </w:sdtPr>
    <w:sdtEndPr/>
    <w:sdtContent>
      <w:p w:rsidR="009920F2" w:rsidRPr="00D63A98" w:rsidRDefault="00891A61" w:rsidP="00D63A98">
        <w:pPr>
          <w:pStyle w:val="Pieddepage"/>
          <w:jc w:val="right"/>
        </w:pPr>
        <w:r>
          <w:fldChar w:fldCharType="begin"/>
        </w:r>
        <w:r>
          <w:instrText xml:space="preserve"> PAGE   \* MERGEFORMAT </w:instrText>
        </w:r>
        <w:r>
          <w:fldChar w:fldCharType="separate"/>
        </w:r>
        <w:r w:rsidR="00EB2FB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61" w:rsidRDefault="00891A61" w:rsidP="00D63A98">
      <w:pPr>
        <w:spacing w:after="0" w:line="240" w:lineRule="auto"/>
      </w:pPr>
      <w:r>
        <w:separator/>
      </w:r>
    </w:p>
  </w:footnote>
  <w:footnote w:type="continuationSeparator" w:id="0">
    <w:p w:rsidR="00891A61" w:rsidRDefault="00891A61" w:rsidP="00D63A98">
      <w:pPr>
        <w:spacing w:after="0" w:line="240" w:lineRule="auto"/>
      </w:pPr>
      <w:r>
        <w:continuationSeparator/>
      </w:r>
    </w:p>
  </w:footnote>
  <w:footnote w:id="1">
    <w:p w:rsidR="009920F2" w:rsidRPr="00B47938" w:rsidRDefault="009920F2">
      <w:pPr>
        <w:pStyle w:val="Notedebasdepage"/>
        <w:rPr>
          <w:lang w:val="en-US"/>
        </w:rPr>
      </w:pPr>
      <w:r>
        <w:rPr>
          <w:rStyle w:val="Appelnotedebasdep"/>
        </w:rPr>
        <w:footnoteRef/>
      </w:r>
      <w:r w:rsidRPr="00AD7776">
        <w:rPr>
          <w:lang w:val="en-US"/>
        </w:rPr>
        <w:t xml:space="preserve"> </w:t>
      </w:r>
      <w:r>
        <w:rPr>
          <w:lang w:val="en-US"/>
        </w:rPr>
        <w:t>Amounts are calculated based on the exchange rates stated by the National Bank of Ukraine on April 14,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5A2"/>
    <w:multiLevelType w:val="hybridMultilevel"/>
    <w:tmpl w:val="89BA36F4"/>
    <w:lvl w:ilvl="0" w:tplc="A9DE468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44"/>
    <w:rsid w:val="000241FF"/>
    <w:rsid w:val="000A068B"/>
    <w:rsid w:val="000C2E96"/>
    <w:rsid w:val="000D79A4"/>
    <w:rsid w:val="000E4B1D"/>
    <w:rsid w:val="00160E96"/>
    <w:rsid w:val="001B1F69"/>
    <w:rsid w:val="001C46C3"/>
    <w:rsid w:val="001D0AD6"/>
    <w:rsid w:val="001E17BB"/>
    <w:rsid w:val="001F1447"/>
    <w:rsid w:val="001F5B4F"/>
    <w:rsid w:val="00203865"/>
    <w:rsid w:val="002150F4"/>
    <w:rsid w:val="002441CF"/>
    <w:rsid w:val="00260923"/>
    <w:rsid w:val="00270E30"/>
    <w:rsid w:val="00280AD4"/>
    <w:rsid w:val="00296E01"/>
    <w:rsid w:val="002E650B"/>
    <w:rsid w:val="003209DF"/>
    <w:rsid w:val="00357F8D"/>
    <w:rsid w:val="0036074E"/>
    <w:rsid w:val="003675BD"/>
    <w:rsid w:val="003870F3"/>
    <w:rsid w:val="00392933"/>
    <w:rsid w:val="004711AD"/>
    <w:rsid w:val="00495838"/>
    <w:rsid w:val="004A3ADA"/>
    <w:rsid w:val="004E0B0D"/>
    <w:rsid w:val="004F64E5"/>
    <w:rsid w:val="00504C1F"/>
    <w:rsid w:val="00541DAF"/>
    <w:rsid w:val="005A3456"/>
    <w:rsid w:val="005B70AD"/>
    <w:rsid w:val="005E6444"/>
    <w:rsid w:val="006269B3"/>
    <w:rsid w:val="006548B4"/>
    <w:rsid w:val="00660746"/>
    <w:rsid w:val="006724AD"/>
    <w:rsid w:val="0069726D"/>
    <w:rsid w:val="006A1B83"/>
    <w:rsid w:val="006A4F20"/>
    <w:rsid w:val="0076430C"/>
    <w:rsid w:val="00777C52"/>
    <w:rsid w:val="007C6021"/>
    <w:rsid w:val="00801073"/>
    <w:rsid w:val="00851114"/>
    <w:rsid w:val="00853127"/>
    <w:rsid w:val="00875141"/>
    <w:rsid w:val="00891A61"/>
    <w:rsid w:val="00895C49"/>
    <w:rsid w:val="008C650C"/>
    <w:rsid w:val="00916DD6"/>
    <w:rsid w:val="009709B7"/>
    <w:rsid w:val="009920F2"/>
    <w:rsid w:val="009B5338"/>
    <w:rsid w:val="009C6C8A"/>
    <w:rsid w:val="009E24A2"/>
    <w:rsid w:val="00A138B5"/>
    <w:rsid w:val="00A21726"/>
    <w:rsid w:val="00A649A4"/>
    <w:rsid w:val="00A938C4"/>
    <w:rsid w:val="00AA2770"/>
    <w:rsid w:val="00AC0C3C"/>
    <w:rsid w:val="00AD7776"/>
    <w:rsid w:val="00AE1312"/>
    <w:rsid w:val="00B27956"/>
    <w:rsid w:val="00B47938"/>
    <w:rsid w:val="00B62802"/>
    <w:rsid w:val="00BA1D84"/>
    <w:rsid w:val="00BA2525"/>
    <w:rsid w:val="00BD10C1"/>
    <w:rsid w:val="00C04560"/>
    <w:rsid w:val="00C42086"/>
    <w:rsid w:val="00C47144"/>
    <w:rsid w:val="00C5291A"/>
    <w:rsid w:val="00CF0C79"/>
    <w:rsid w:val="00D0571A"/>
    <w:rsid w:val="00D1545E"/>
    <w:rsid w:val="00D55CCF"/>
    <w:rsid w:val="00D63A98"/>
    <w:rsid w:val="00D827D0"/>
    <w:rsid w:val="00DC54FB"/>
    <w:rsid w:val="00DD55F9"/>
    <w:rsid w:val="00E8372D"/>
    <w:rsid w:val="00E96EF0"/>
    <w:rsid w:val="00EB1B57"/>
    <w:rsid w:val="00EB2FBF"/>
    <w:rsid w:val="00ED475F"/>
    <w:rsid w:val="00EF71FC"/>
    <w:rsid w:val="00F6248A"/>
    <w:rsid w:val="00F8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650B"/>
    <w:rPr>
      <w:color w:val="0000FF" w:themeColor="hyperlink"/>
      <w:u w:val="single"/>
    </w:rPr>
  </w:style>
  <w:style w:type="character" w:customStyle="1" w:styleId="js-translation-text">
    <w:name w:val="js-translation-text"/>
    <w:basedOn w:val="Policepardfaut"/>
    <w:rsid w:val="004E0B0D"/>
  </w:style>
  <w:style w:type="paragraph" w:styleId="Textedebulles">
    <w:name w:val="Balloon Text"/>
    <w:basedOn w:val="Normal"/>
    <w:link w:val="TextedebullesCar"/>
    <w:uiPriority w:val="99"/>
    <w:semiHidden/>
    <w:unhideWhenUsed/>
    <w:rsid w:val="005A34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456"/>
    <w:rPr>
      <w:rFonts w:ascii="Tahoma" w:hAnsi="Tahoma" w:cs="Tahoma"/>
      <w:sz w:val="16"/>
      <w:szCs w:val="16"/>
    </w:rPr>
  </w:style>
  <w:style w:type="table" w:styleId="Grilledutableau">
    <w:name w:val="Table Grid"/>
    <w:basedOn w:val="TableauNormal"/>
    <w:uiPriority w:val="59"/>
    <w:rsid w:val="000A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D63A98"/>
    <w:pPr>
      <w:tabs>
        <w:tab w:val="center" w:pos="4677"/>
        <w:tab w:val="right" w:pos="9355"/>
      </w:tabs>
      <w:spacing w:after="0" w:line="240" w:lineRule="auto"/>
    </w:pPr>
  </w:style>
  <w:style w:type="character" w:customStyle="1" w:styleId="En-tteCar">
    <w:name w:val="En-tête Car"/>
    <w:basedOn w:val="Policepardfaut"/>
    <w:link w:val="En-tte"/>
    <w:uiPriority w:val="99"/>
    <w:semiHidden/>
    <w:rsid w:val="00D63A98"/>
  </w:style>
  <w:style w:type="paragraph" w:styleId="Pieddepage">
    <w:name w:val="footer"/>
    <w:basedOn w:val="Normal"/>
    <w:link w:val="PieddepageCar"/>
    <w:uiPriority w:val="99"/>
    <w:unhideWhenUsed/>
    <w:rsid w:val="00D63A98"/>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D63A98"/>
  </w:style>
  <w:style w:type="paragraph" w:styleId="Paragraphedeliste">
    <w:name w:val="List Paragraph"/>
    <w:basedOn w:val="Normal"/>
    <w:uiPriority w:val="34"/>
    <w:qFormat/>
    <w:rsid w:val="00D63A98"/>
    <w:pPr>
      <w:ind w:left="720"/>
      <w:contextualSpacing/>
    </w:pPr>
  </w:style>
  <w:style w:type="paragraph" w:styleId="Notedebasdepage">
    <w:name w:val="footnote text"/>
    <w:basedOn w:val="Normal"/>
    <w:link w:val="NotedebasdepageCar"/>
    <w:uiPriority w:val="99"/>
    <w:semiHidden/>
    <w:unhideWhenUsed/>
    <w:rsid w:val="00B479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7938"/>
    <w:rPr>
      <w:sz w:val="20"/>
      <w:szCs w:val="20"/>
    </w:rPr>
  </w:style>
  <w:style w:type="character" w:styleId="Appelnotedebasdep">
    <w:name w:val="footnote reference"/>
    <w:basedOn w:val="Policepardfaut"/>
    <w:uiPriority w:val="99"/>
    <w:semiHidden/>
    <w:unhideWhenUsed/>
    <w:rsid w:val="00B47938"/>
    <w:rPr>
      <w:vertAlign w:val="superscript"/>
    </w:rPr>
  </w:style>
  <w:style w:type="paragraph" w:styleId="Notedefin">
    <w:name w:val="endnote text"/>
    <w:basedOn w:val="Normal"/>
    <w:link w:val="NotedefinCar"/>
    <w:uiPriority w:val="99"/>
    <w:semiHidden/>
    <w:unhideWhenUsed/>
    <w:rsid w:val="00B47938"/>
    <w:pPr>
      <w:spacing w:after="0" w:line="240" w:lineRule="auto"/>
    </w:pPr>
    <w:rPr>
      <w:sz w:val="20"/>
      <w:szCs w:val="20"/>
    </w:rPr>
  </w:style>
  <w:style w:type="character" w:customStyle="1" w:styleId="NotedefinCar">
    <w:name w:val="Note de fin Car"/>
    <w:basedOn w:val="Policepardfaut"/>
    <w:link w:val="Notedefin"/>
    <w:uiPriority w:val="99"/>
    <w:semiHidden/>
    <w:rsid w:val="00B47938"/>
    <w:rPr>
      <w:sz w:val="20"/>
      <w:szCs w:val="20"/>
    </w:rPr>
  </w:style>
  <w:style w:type="character" w:styleId="Appeldenotedefin">
    <w:name w:val="endnote reference"/>
    <w:basedOn w:val="Policepardfaut"/>
    <w:uiPriority w:val="99"/>
    <w:semiHidden/>
    <w:unhideWhenUsed/>
    <w:rsid w:val="00B47938"/>
    <w:rPr>
      <w:vertAlign w:val="superscript"/>
    </w:rPr>
  </w:style>
  <w:style w:type="character" w:customStyle="1" w:styleId="apple-converted-space">
    <w:name w:val="apple-converted-space"/>
    <w:basedOn w:val="Policepardfaut"/>
    <w:rsid w:val="000E4B1D"/>
  </w:style>
  <w:style w:type="character" w:customStyle="1" w:styleId="noexcerpt">
    <w:name w:val="noexcerpt"/>
    <w:basedOn w:val="Policepardfaut"/>
    <w:rsid w:val="009920F2"/>
  </w:style>
  <w:style w:type="character" w:customStyle="1" w:styleId="ipa">
    <w:name w:val="ipa"/>
    <w:basedOn w:val="Policepardfaut"/>
    <w:rsid w:val="009920F2"/>
  </w:style>
  <w:style w:type="paragraph" w:styleId="NormalWeb">
    <w:name w:val="Normal (Web)"/>
    <w:basedOn w:val="Normal"/>
    <w:uiPriority w:val="99"/>
    <w:semiHidden/>
    <w:unhideWhenUsed/>
    <w:rsid w:val="00992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650B"/>
    <w:rPr>
      <w:color w:val="0000FF" w:themeColor="hyperlink"/>
      <w:u w:val="single"/>
    </w:rPr>
  </w:style>
  <w:style w:type="character" w:customStyle="1" w:styleId="js-translation-text">
    <w:name w:val="js-translation-text"/>
    <w:basedOn w:val="Policepardfaut"/>
    <w:rsid w:val="004E0B0D"/>
  </w:style>
  <w:style w:type="paragraph" w:styleId="Textedebulles">
    <w:name w:val="Balloon Text"/>
    <w:basedOn w:val="Normal"/>
    <w:link w:val="TextedebullesCar"/>
    <w:uiPriority w:val="99"/>
    <w:semiHidden/>
    <w:unhideWhenUsed/>
    <w:rsid w:val="005A34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456"/>
    <w:rPr>
      <w:rFonts w:ascii="Tahoma" w:hAnsi="Tahoma" w:cs="Tahoma"/>
      <w:sz w:val="16"/>
      <w:szCs w:val="16"/>
    </w:rPr>
  </w:style>
  <w:style w:type="table" w:styleId="Grilledutableau">
    <w:name w:val="Table Grid"/>
    <w:basedOn w:val="TableauNormal"/>
    <w:uiPriority w:val="59"/>
    <w:rsid w:val="000A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D63A98"/>
    <w:pPr>
      <w:tabs>
        <w:tab w:val="center" w:pos="4677"/>
        <w:tab w:val="right" w:pos="9355"/>
      </w:tabs>
      <w:spacing w:after="0" w:line="240" w:lineRule="auto"/>
    </w:pPr>
  </w:style>
  <w:style w:type="character" w:customStyle="1" w:styleId="En-tteCar">
    <w:name w:val="En-tête Car"/>
    <w:basedOn w:val="Policepardfaut"/>
    <w:link w:val="En-tte"/>
    <w:uiPriority w:val="99"/>
    <w:semiHidden/>
    <w:rsid w:val="00D63A98"/>
  </w:style>
  <w:style w:type="paragraph" w:styleId="Pieddepage">
    <w:name w:val="footer"/>
    <w:basedOn w:val="Normal"/>
    <w:link w:val="PieddepageCar"/>
    <w:uiPriority w:val="99"/>
    <w:unhideWhenUsed/>
    <w:rsid w:val="00D63A98"/>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D63A98"/>
  </w:style>
  <w:style w:type="paragraph" w:styleId="Paragraphedeliste">
    <w:name w:val="List Paragraph"/>
    <w:basedOn w:val="Normal"/>
    <w:uiPriority w:val="34"/>
    <w:qFormat/>
    <w:rsid w:val="00D63A98"/>
    <w:pPr>
      <w:ind w:left="720"/>
      <w:contextualSpacing/>
    </w:pPr>
  </w:style>
  <w:style w:type="paragraph" w:styleId="Notedebasdepage">
    <w:name w:val="footnote text"/>
    <w:basedOn w:val="Normal"/>
    <w:link w:val="NotedebasdepageCar"/>
    <w:uiPriority w:val="99"/>
    <w:semiHidden/>
    <w:unhideWhenUsed/>
    <w:rsid w:val="00B479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7938"/>
    <w:rPr>
      <w:sz w:val="20"/>
      <w:szCs w:val="20"/>
    </w:rPr>
  </w:style>
  <w:style w:type="character" w:styleId="Appelnotedebasdep">
    <w:name w:val="footnote reference"/>
    <w:basedOn w:val="Policepardfaut"/>
    <w:uiPriority w:val="99"/>
    <w:semiHidden/>
    <w:unhideWhenUsed/>
    <w:rsid w:val="00B47938"/>
    <w:rPr>
      <w:vertAlign w:val="superscript"/>
    </w:rPr>
  </w:style>
  <w:style w:type="paragraph" w:styleId="Notedefin">
    <w:name w:val="endnote text"/>
    <w:basedOn w:val="Normal"/>
    <w:link w:val="NotedefinCar"/>
    <w:uiPriority w:val="99"/>
    <w:semiHidden/>
    <w:unhideWhenUsed/>
    <w:rsid w:val="00B47938"/>
    <w:pPr>
      <w:spacing w:after="0" w:line="240" w:lineRule="auto"/>
    </w:pPr>
    <w:rPr>
      <w:sz w:val="20"/>
      <w:szCs w:val="20"/>
    </w:rPr>
  </w:style>
  <w:style w:type="character" w:customStyle="1" w:styleId="NotedefinCar">
    <w:name w:val="Note de fin Car"/>
    <w:basedOn w:val="Policepardfaut"/>
    <w:link w:val="Notedefin"/>
    <w:uiPriority w:val="99"/>
    <w:semiHidden/>
    <w:rsid w:val="00B47938"/>
    <w:rPr>
      <w:sz w:val="20"/>
      <w:szCs w:val="20"/>
    </w:rPr>
  </w:style>
  <w:style w:type="character" w:styleId="Appeldenotedefin">
    <w:name w:val="endnote reference"/>
    <w:basedOn w:val="Policepardfaut"/>
    <w:uiPriority w:val="99"/>
    <w:semiHidden/>
    <w:unhideWhenUsed/>
    <w:rsid w:val="00B47938"/>
    <w:rPr>
      <w:vertAlign w:val="superscript"/>
    </w:rPr>
  </w:style>
  <w:style w:type="character" w:customStyle="1" w:styleId="apple-converted-space">
    <w:name w:val="apple-converted-space"/>
    <w:basedOn w:val="Policepardfaut"/>
    <w:rsid w:val="000E4B1D"/>
  </w:style>
  <w:style w:type="character" w:customStyle="1" w:styleId="noexcerpt">
    <w:name w:val="noexcerpt"/>
    <w:basedOn w:val="Policepardfaut"/>
    <w:rsid w:val="009920F2"/>
  </w:style>
  <w:style w:type="character" w:customStyle="1" w:styleId="ipa">
    <w:name w:val="ipa"/>
    <w:basedOn w:val="Policepardfaut"/>
    <w:rsid w:val="009920F2"/>
  </w:style>
  <w:style w:type="paragraph" w:styleId="NormalWeb">
    <w:name w:val="Normal (Web)"/>
    <w:basedOn w:val="Normal"/>
    <w:uiPriority w:val="99"/>
    <w:semiHidden/>
    <w:unhideWhenUsed/>
    <w:rsid w:val="00992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1968">
      <w:bodyDiv w:val="1"/>
      <w:marLeft w:val="0"/>
      <w:marRight w:val="0"/>
      <w:marTop w:val="0"/>
      <w:marBottom w:val="0"/>
      <w:divBdr>
        <w:top w:val="none" w:sz="0" w:space="0" w:color="auto"/>
        <w:left w:val="none" w:sz="0" w:space="0" w:color="auto"/>
        <w:bottom w:val="none" w:sz="0" w:space="0" w:color="auto"/>
        <w:right w:val="none" w:sz="0" w:space="0" w:color="auto"/>
      </w:divBdr>
    </w:div>
    <w:div w:id="282419692">
      <w:bodyDiv w:val="1"/>
      <w:marLeft w:val="0"/>
      <w:marRight w:val="0"/>
      <w:marTop w:val="0"/>
      <w:marBottom w:val="0"/>
      <w:divBdr>
        <w:top w:val="none" w:sz="0" w:space="0" w:color="auto"/>
        <w:left w:val="none" w:sz="0" w:space="0" w:color="auto"/>
        <w:bottom w:val="none" w:sz="0" w:space="0" w:color="auto"/>
        <w:right w:val="none" w:sz="0" w:space="0" w:color="auto"/>
      </w:divBdr>
      <w:divsChild>
        <w:div w:id="1365793500">
          <w:marLeft w:val="0"/>
          <w:marRight w:val="0"/>
          <w:marTop w:val="0"/>
          <w:marBottom w:val="0"/>
          <w:divBdr>
            <w:top w:val="none" w:sz="0" w:space="0" w:color="auto"/>
            <w:left w:val="none" w:sz="0" w:space="0" w:color="auto"/>
            <w:bottom w:val="none" w:sz="0" w:space="0" w:color="auto"/>
            <w:right w:val="none" w:sz="0" w:space="0" w:color="auto"/>
          </w:divBdr>
        </w:div>
        <w:div w:id="1292058268">
          <w:marLeft w:val="0"/>
          <w:marRight w:val="0"/>
          <w:marTop w:val="150"/>
          <w:marBottom w:val="600"/>
          <w:divBdr>
            <w:top w:val="single" w:sz="12" w:space="23" w:color="93BE27"/>
            <w:left w:val="none" w:sz="0" w:space="0" w:color="auto"/>
            <w:bottom w:val="none" w:sz="0" w:space="0" w:color="auto"/>
            <w:right w:val="none" w:sz="0" w:space="0" w:color="auto"/>
          </w:divBdr>
        </w:div>
      </w:divsChild>
    </w:div>
    <w:div w:id="328021509">
      <w:bodyDiv w:val="1"/>
      <w:marLeft w:val="0"/>
      <w:marRight w:val="0"/>
      <w:marTop w:val="0"/>
      <w:marBottom w:val="0"/>
      <w:divBdr>
        <w:top w:val="none" w:sz="0" w:space="0" w:color="auto"/>
        <w:left w:val="none" w:sz="0" w:space="0" w:color="auto"/>
        <w:bottom w:val="none" w:sz="0" w:space="0" w:color="auto"/>
        <w:right w:val="none" w:sz="0" w:space="0" w:color="auto"/>
      </w:divBdr>
    </w:div>
    <w:div w:id="539437284">
      <w:bodyDiv w:val="1"/>
      <w:marLeft w:val="0"/>
      <w:marRight w:val="0"/>
      <w:marTop w:val="0"/>
      <w:marBottom w:val="0"/>
      <w:divBdr>
        <w:top w:val="none" w:sz="0" w:space="0" w:color="auto"/>
        <w:left w:val="none" w:sz="0" w:space="0" w:color="auto"/>
        <w:bottom w:val="none" w:sz="0" w:space="0" w:color="auto"/>
        <w:right w:val="none" w:sz="0" w:space="0" w:color="auto"/>
      </w:divBdr>
    </w:div>
    <w:div w:id="1074353807">
      <w:bodyDiv w:val="1"/>
      <w:marLeft w:val="0"/>
      <w:marRight w:val="0"/>
      <w:marTop w:val="0"/>
      <w:marBottom w:val="0"/>
      <w:divBdr>
        <w:top w:val="none" w:sz="0" w:space="0" w:color="auto"/>
        <w:left w:val="none" w:sz="0" w:space="0" w:color="auto"/>
        <w:bottom w:val="none" w:sz="0" w:space="0" w:color="auto"/>
        <w:right w:val="none" w:sz="0" w:space="0" w:color="auto"/>
      </w:divBdr>
    </w:div>
    <w:div w:id="1117215168">
      <w:bodyDiv w:val="1"/>
      <w:marLeft w:val="0"/>
      <w:marRight w:val="0"/>
      <w:marTop w:val="0"/>
      <w:marBottom w:val="0"/>
      <w:divBdr>
        <w:top w:val="none" w:sz="0" w:space="0" w:color="auto"/>
        <w:left w:val="none" w:sz="0" w:space="0" w:color="auto"/>
        <w:bottom w:val="none" w:sz="0" w:space="0" w:color="auto"/>
        <w:right w:val="none" w:sz="0" w:space="0" w:color="auto"/>
      </w:divBdr>
    </w:div>
    <w:div w:id="1347172424">
      <w:bodyDiv w:val="1"/>
      <w:marLeft w:val="0"/>
      <w:marRight w:val="0"/>
      <w:marTop w:val="0"/>
      <w:marBottom w:val="0"/>
      <w:divBdr>
        <w:top w:val="none" w:sz="0" w:space="0" w:color="auto"/>
        <w:left w:val="none" w:sz="0" w:space="0" w:color="auto"/>
        <w:bottom w:val="none" w:sz="0" w:space="0" w:color="auto"/>
        <w:right w:val="none" w:sz="0" w:space="0" w:color="auto"/>
      </w:divBdr>
    </w:div>
    <w:div w:id="1656110784">
      <w:bodyDiv w:val="1"/>
      <w:marLeft w:val="0"/>
      <w:marRight w:val="0"/>
      <w:marTop w:val="0"/>
      <w:marBottom w:val="0"/>
      <w:divBdr>
        <w:top w:val="none" w:sz="0" w:space="0" w:color="auto"/>
        <w:left w:val="none" w:sz="0" w:space="0" w:color="auto"/>
        <w:bottom w:val="none" w:sz="0" w:space="0" w:color="auto"/>
        <w:right w:val="none" w:sz="0" w:space="0" w:color="auto"/>
      </w:divBdr>
    </w:div>
    <w:div w:id="1683243807">
      <w:bodyDiv w:val="1"/>
      <w:marLeft w:val="0"/>
      <w:marRight w:val="0"/>
      <w:marTop w:val="0"/>
      <w:marBottom w:val="0"/>
      <w:divBdr>
        <w:top w:val="none" w:sz="0" w:space="0" w:color="auto"/>
        <w:left w:val="none" w:sz="0" w:space="0" w:color="auto"/>
        <w:bottom w:val="none" w:sz="0" w:space="0" w:color="auto"/>
        <w:right w:val="none" w:sz="0" w:space="0" w:color="auto"/>
      </w:divBdr>
    </w:div>
    <w:div w:id="19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007708644">
          <w:marLeft w:val="0"/>
          <w:marRight w:val="0"/>
          <w:marTop w:val="0"/>
          <w:marBottom w:val="0"/>
          <w:divBdr>
            <w:top w:val="none" w:sz="0" w:space="0" w:color="auto"/>
            <w:left w:val="none" w:sz="0" w:space="0" w:color="auto"/>
            <w:bottom w:val="none" w:sz="0" w:space="0" w:color="auto"/>
            <w:right w:val="none" w:sz="0" w:space="0" w:color="auto"/>
          </w:divBdr>
        </w:div>
        <w:div w:id="1727026859">
          <w:marLeft w:val="0"/>
          <w:marRight w:val="0"/>
          <w:marTop w:val="0"/>
          <w:marBottom w:val="0"/>
          <w:divBdr>
            <w:top w:val="none" w:sz="0" w:space="0" w:color="auto"/>
            <w:left w:val="none" w:sz="0" w:space="0" w:color="auto"/>
            <w:bottom w:val="none" w:sz="0" w:space="0" w:color="auto"/>
            <w:right w:val="none" w:sz="0" w:space="0" w:color="auto"/>
          </w:divBdr>
        </w:div>
        <w:div w:id="1915966973">
          <w:marLeft w:val="0"/>
          <w:marRight w:val="0"/>
          <w:marTop w:val="0"/>
          <w:marBottom w:val="0"/>
          <w:divBdr>
            <w:top w:val="none" w:sz="0" w:space="0" w:color="auto"/>
            <w:left w:val="none" w:sz="0" w:space="0" w:color="auto"/>
            <w:bottom w:val="none" w:sz="0" w:space="0" w:color="auto"/>
            <w:right w:val="none" w:sz="0" w:space="0" w:color="auto"/>
          </w:divBdr>
        </w:div>
      </w:divsChild>
    </w:div>
    <w:div w:id="19752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urope" TargetMode="External"/><Relationship Id="rId18" Type="http://schemas.openxmlformats.org/officeDocument/2006/relationships/hyperlink" Target="http://en.wikipedia.org/wiki/Slovakia" TargetMode="External"/><Relationship Id="rId26" Type="http://schemas.openxmlformats.org/officeDocument/2006/relationships/hyperlink" Target="http://en.wikipedia.org/wiki/Electricity_market" TargetMode="External"/><Relationship Id="rId39" Type="http://schemas.openxmlformats.org/officeDocument/2006/relationships/image" Target="media/image2.jpeg"/><Relationship Id="rId21" Type="http://schemas.openxmlformats.org/officeDocument/2006/relationships/hyperlink" Target="http://en.wikipedia.org/wiki/Moldova" TargetMode="External"/><Relationship Id="rId34" Type="http://schemas.openxmlformats.org/officeDocument/2006/relationships/hyperlink" Target="http://en.wikipedia.org/wiki/Viktor_Yanukovich" TargetMode="External"/><Relationship Id="rId42" Type="http://schemas.openxmlformats.org/officeDocument/2006/relationships/chart" Target="charts/chart1.xml"/><Relationship Id="rId47" Type="http://schemas.openxmlformats.org/officeDocument/2006/relationships/hyperlink" Target="http://www.apeu.info/en/" TargetMode="External"/><Relationship Id="rId50"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n.wikipedia.org/wiki/Belarus" TargetMode="External"/><Relationship Id="rId29" Type="http://schemas.openxmlformats.org/officeDocument/2006/relationships/hyperlink" Target="http://en.wikipedia.org/wiki/Ukraine" TargetMode="Externa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yperlink" Target="http://en.wikipedia.org/wiki/Westinghouse_Electric_Company" TargetMode="External"/><Relationship Id="rId37" Type="http://schemas.openxmlformats.org/officeDocument/2006/relationships/hyperlink" Target="http://en.wikipedia.org/wiki/Thermal_power_station" TargetMode="External"/><Relationship Id="rId40" Type="http://schemas.openxmlformats.org/officeDocument/2006/relationships/image" Target="media/image3.jpeg"/><Relationship Id="rId45"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yperlink" Target="http://en.wikipedia.org/wiki/Russia" TargetMode="External"/><Relationship Id="rId23" Type="http://schemas.openxmlformats.org/officeDocument/2006/relationships/hyperlink" Target="http://en.wikipedia.org/wiki/Sea_of_Azov" TargetMode="External"/><Relationship Id="rId28" Type="http://schemas.openxmlformats.org/officeDocument/2006/relationships/hyperlink" Target="http://en.wikipedia.org/wiki/Nuclear_power" TargetMode="External"/><Relationship Id="rId36" Type="http://schemas.openxmlformats.org/officeDocument/2006/relationships/hyperlink" Target="http://en.wikipedia.org/wiki/Natural_ga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Hungary" TargetMode="External"/><Relationship Id="rId31" Type="http://schemas.openxmlformats.org/officeDocument/2006/relationships/hyperlink" Target="http://en.wikipedia.org/wiki/Russia" TargetMode="External"/><Relationship Id="rId44"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State_Border_of_Ukraine" TargetMode="External"/><Relationship Id="rId22" Type="http://schemas.openxmlformats.org/officeDocument/2006/relationships/hyperlink" Target="http://en.wikipedia.org/wiki/Black_Sea" TargetMode="External"/><Relationship Id="rId27" Type="http://schemas.openxmlformats.org/officeDocument/2006/relationships/hyperlink" Target="http://en.wikipedia.org/wiki/Electricity" TargetMode="External"/><Relationship Id="rId30" Type="http://schemas.openxmlformats.org/officeDocument/2006/relationships/hyperlink" Target="http://en.wikipedia.org/wiki/Nuclear_power_plant" TargetMode="External"/><Relationship Id="rId35" Type="http://schemas.openxmlformats.org/officeDocument/2006/relationships/hyperlink" Target="http://en.wikipedia.org/wiki/Coal" TargetMode="External"/><Relationship Id="rId43" Type="http://schemas.openxmlformats.org/officeDocument/2006/relationships/chart" Target="charts/chart2.xm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en.wikipedia.org/wiki/Country" TargetMode="External"/><Relationship Id="rId17" Type="http://schemas.openxmlformats.org/officeDocument/2006/relationships/hyperlink" Target="http://en.wikipedia.org/wiki/Poland" TargetMode="External"/><Relationship Id="rId25" Type="http://schemas.openxmlformats.org/officeDocument/2006/relationships/hyperlink" Target="http://en.wikipedia.org/wiki/Think_tank" TargetMode="External"/><Relationship Id="rId33" Type="http://schemas.openxmlformats.org/officeDocument/2006/relationships/hyperlink" Target="http://en.wikipedia.org/wiki/Euromaidan" TargetMode="External"/><Relationship Id="rId38" Type="http://schemas.openxmlformats.org/officeDocument/2006/relationships/hyperlink" Target="http://en.wikipedia.org/wiki/Hydro_power" TargetMode="External"/><Relationship Id="rId46" Type="http://schemas.openxmlformats.org/officeDocument/2006/relationships/hyperlink" Target="mailto:info@apeu.info" TargetMode="External"/><Relationship Id="rId20" Type="http://schemas.openxmlformats.org/officeDocument/2006/relationships/hyperlink" Target="http://en.wikipedia.org/wiki/Romania"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_3\Desktop\Energy\Energ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_3\Desktop\Energy\Energ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_3\Desktop\Energy\Energ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_3\Desktop\Energy\Energ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Production of electric power by solar power stations and wind power stations in Ukraine, million kWh*</a:t>
            </a:r>
            <a:endParaRPr lang="ru-RU" sz="1200"/>
          </a:p>
        </c:rich>
      </c:tx>
      <c:layout>
        <c:manualLayout>
          <c:xMode val="edge"/>
          <c:yMode val="edge"/>
          <c:x val="0.12877077865266837"/>
          <c:y val="2.7777777777778002E-2"/>
        </c:manualLayout>
      </c:layout>
      <c:overlay val="0"/>
    </c:title>
    <c:autoTitleDeleted val="0"/>
    <c:plotArea>
      <c:layout/>
      <c:barChart>
        <c:barDir val="col"/>
        <c:grouping val="clustered"/>
        <c:varyColors val="0"/>
        <c:ser>
          <c:idx val="0"/>
          <c:order val="0"/>
          <c:invertIfNegative val="0"/>
          <c:dPt>
            <c:idx val="5"/>
            <c:invertIfNegative val="0"/>
            <c:bubble3D val="0"/>
            <c:spPr>
              <a:solidFill>
                <a:schemeClr val="accent2"/>
              </a:solidFill>
            </c:spPr>
          </c:dPt>
          <c:dPt>
            <c:idx val="6"/>
            <c:invertIfNegative val="0"/>
            <c:bubble3D val="0"/>
            <c:spPr>
              <a:solidFill>
                <a:schemeClr val="accent2"/>
              </a:solidFill>
            </c:spPr>
          </c:dPt>
          <c:dLbls>
            <c:dLbl>
              <c:idx val="2"/>
              <c:layout>
                <c:manualLayout>
                  <c:x val="0"/>
                  <c:y val="-1.3888888888888963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Лист1!$B$2:$B$8</c:f>
              <c:strCache>
                <c:ptCount val="7"/>
                <c:pt idx="0">
                  <c:v>2009</c:v>
                </c:pt>
                <c:pt idx="1">
                  <c:v>2010</c:v>
                </c:pt>
                <c:pt idx="2">
                  <c:v>2011</c:v>
                </c:pt>
                <c:pt idx="3">
                  <c:v>2012</c:v>
                </c:pt>
                <c:pt idx="4">
                  <c:v>2013</c:v>
                </c:pt>
                <c:pt idx="5">
                  <c:v>Jan-Feb 2013</c:v>
                </c:pt>
                <c:pt idx="6">
                  <c:v>Jan-Feb 2014</c:v>
                </c:pt>
              </c:strCache>
            </c:strRef>
          </c:cat>
          <c:val>
            <c:numRef>
              <c:f>Лист1!$C$2:$C$8</c:f>
              <c:numCache>
                <c:formatCode>General</c:formatCode>
                <c:ptCount val="7"/>
                <c:pt idx="0">
                  <c:v>100</c:v>
                </c:pt>
                <c:pt idx="1">
                  <c:v>100</c:v>
                </c:pt>
                <c:pt idx="2">
                  <c:v>120</c:v>
                </c:pt>
                <c:pt idx="3">
                  <c:v>622</c:v>
                </c:pt>
                <c:pt idx="4">
                  <c:v>1174</c:v>
                </c:pt>
                <c:pt idx="5">
                  <c:v>139</c:v>
                </c:pt>
                <c:pt idx="6">
                  <c:v>231.6</c:v>
                </c:pt>
              </c:numCache>
            </c:numRef>
          </c:val>
        </c:ser>
        <c:dLbls>
          <c:showLegendKey val="0"/>
          <c:showVal val="1"/>
          <c:showCatName val="0"/>
          <c:showSerName val="0"/>
          <c:showPercent val="0"/>
          <c:showBubbleSize val="0"/>
        </c:dLbls>
        <c:gapWidth val="150"/>
        <c:axId val="80769536"/>
        <c:axId val="59759360"/>
      </c:barChart>
      <c:catAx>
        <c:axId val="80769536"/>
        <c:scaling>
          <c:orientation val="minMax"/>
        </c:scaling>
        <c:delete val="0"/>
        <c:axPos val="b"/>
        <c:majorTickMark val="none"/>
        <c:minorTickMark val="none"/>
        <c:tickLblPos val="nextTo"/>
        <c:crossAx val="59759360"/>
        <c:crosses val="autoZero"/>
        <c:auto val="1"/>
        <c:lblAlgn val="ctr"/>
        <c:lblOffset val="100"/>
        <c:noMultiLvlLbl val="0"/>
      </c:catAx>
      <c:valAx>
        <c:axId val="59759360"/>
        <c:scaling>
          <c:orientation val="minMax"/>
        </c:scaling>
        <c:delete val="0"/>
        <c:axPos val="l"/>
        <c:majorGridlines/>
        <c:numFmt formatCode="General" sourceLinked="1"/>
        <c:majorTickMark val="none"/>
        <c:minorTickMark val="none"/>
        <c:tickLblPos val="nextTo"/>
        <c:crossAx val="80769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Installed capacity of renewable energy plants connected to the joint power system in Ukraine, megawatt</a:t>
            </a:r>
          </a:p>
        </c:rich>
      </c:tx>
      <c:layout>
        <c:manualLayout>
          <c:xMode val="edge"/>
          <c:yMode val="edge"/>
          <c:x val="8.6298556430446205E-2"/>
          <c:y val="2.2598870056497182E-2"/>
        </c:manualLayout>
      </c:layout>
      <c:overlay val="0"/>
    </c:title>
    <c:autoTitleDeleted val="0"/>
    <c:plotArea>
      <c:layout/>
      <c:barChart>
        <c:barDir val="col"/>
        <c:grouping val="clustered"/>
        <c:varyColors val="0"/>
        <c:ser>
          <c:idx val="0"/>
          <c:order val="0"/>
          <c:tx>
            <c:strRef>
              <c:f>Лист1!$C$18</c:f>
              <c:strCache>
                <c:ptCount val="1"/>
                <c:pt idx="0">
                  <c:v>Solar power stations</c:v>
                </c:pt>
              </c:strCache>
            </c:strRef>
          </c:tx>
          <c:invertIfNegative val="0"/>
          <c:cat>
            <c:strRef>
              <c:f>Лист1!$B$19:$B$23</c:f>
              <c:strCache>
                <c:ptCount val="5"/>
                <c:pt idx="0">
                  <c:v>2010</c:v>
                </c:pt>
                <c:pt idx="1">
                  <c:v>2011</c:v>
                </c:pt>
                <c:pt idx="2">
                  <c:v>2012</c:v>
                </c:pt>
                <c:pt idx="3">
                  <c:v>2013</c:v>
                </c:pt>
                <c:pt idx="4">
                  <c:v>2014*</c:v>
                </c:pt>
              </c:strCache>
            </c:strRef>
          </c:cat>
          <c:val>
            <c:numRef>
              <c:f>Лист1!$C$19:$C$23</c:f>
              <c:numCache>
                <c:formatCode>General</c:formatCode>
                <c:ptCount val="5"/>
                <c:pt idx="1">
                  <c:v>188</c:v>
                </c:pt>
                <c:pt idx="2">
                  <c:v>372</c:v>
                </c:pt>
                <c:pt idx="3">
                  <c:v>415</c:v>
                </c:pt>
                <c:pt idx="4">
                  <c:v>677</c:v>
                </c:pt>
              </c:numCache>
            </c:numRef>
          </c:val>
        </c:ser>
        <c:ser>
          <c:idx val="1"/>
          <c:order val="1"/>
          <c:tx>
            <c:strRef>
              <c:f>Лист1!$D$18</c:f>
              <c:strCache>
                <c:ptCount val="1"/>
                <c:pt idx="0">
                  <c:v>Wind power stations</c:v>
                </c:pt>
              </c:strCache>
            </c:strRef>
          </c:tx>
          <c:invertIfNegative val="0"/>
          <c:cat>
            <c:strRef>
              <c:f>Лист1!$B$19:$B$23</c:f>
              <c:strCache>
                <c:ptCount val="5"/>
                <c:pt idx="0">
                  <c:v>2010</c:v>
                </c:pt>
                <c:pt idx="1">
                  <c:v>2011</c:v>
                </c:pt>
                <c:pt idx="2">
                  <c:v>2012</c:v>
                </c:pt>
                <c:pt idx="3">
                  <c:v>2013</c:v>
                </c:pt>
                <c:pt idx="4">
                  <c:v>2014*</c:v>
                </c:pt>
              </c:strCache>
            </c:strRef>
          </c:cat>
          <c:val>
            <c:numRef>
              <c:f>Лист1!$D$19:$D$23</c:f>
              <c:numCache>
                <c:formatCode>General</c:formatCode>
                <c:ptCount val="5"/>
                <c:pt idx="0">
                  <c:v>90</c:v>
                </c:pt>
                <c:pt idx="1">
                  <c:v>88</c:v>
                </c:pt>
                <c:pt idx="2">
                  <c:v>151</c:v>
                </c:pt>
                <c:pt idx="3">
                  <c:v>276</c:v>
                </c:pt>
                <c:pt idx="4">
                  <c:v>371</c:v>
                </c:pt>
              </c:numCache>
            </c:numRef>
          </c:val>
        </c:ser>
        <c:ser>
          <c:idx val="2"/>
          <c:order val="2"/>
          <c:tx>
            <c:strRef>
              <c:f>Лист1!$E$18</c:f>
              <c:strCache>
                <c:ptCount val="1"/>
                <c:pt idx="0">
                  <c:v>Small hydro power stations</c:v>
                </c:pt>
              </c:strCache>
            </c:strRef>
          </c:tx>
          <c:invertIfNegative val="0"/>
          <c:dLbls>
            <c:dLbl>
              <c:idx val="0"/>
              <c:layout>
                <c:manualLayout>
                  <c:x val="1.1111111111111125E-2"/>
                  <c:y val="1.5065913370998116E-2"/>
                </c:manualLayout>
              </c:layout>
              <c:dLblPos val="outEnd"/>
              <c:showLegendKey val="0"/>
              <c:showVal val="1"/>
              <c:showCatName val="0"/>
              <c:showSerName val="0"/>
              <c:showPercent val="0"/>
              <c:showBubbleSize val="0"/>
            </c:dLbl>
            <c:dLbl>
              <c:idx val="1"/>
              <c:layout>
                <c:manualLayout>
                  <c:x val="8.333333333333336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Лист1!$B$19:$B$23</c:f>
              <c:strCache>
                <c:ptCount val="5"/>
                <c:pt idx="0">
                  <c:v>2010</c:v>
                </c:pt>
                <c:pt idx="1">
                  <c:v>2011</c:v>
                </c:pt>
                <c:pt idx="2">
                  <c:v>2012</c:v>
                </c:pt>
                <c:pt idx="3">
                  <c:v>2013</c:v>
                </c:pt>
                <c:pt idx="4">
                  <c:v>2014*</c:v>
                </c:pt>
              </c:strCache>
            </c:strRef>
          </c:cat>
          <c:val>
            <c:numRef>
              <c:f>Лист1!$E$19:$E$23</c:f>
              <c:numCache>
                <c:formatCode>General</c:formatCode>
                <c:ptCount val="5"/>
                <c:pt idx="0">
                  <c:v>63</c:v>
                </c:pt>
                <c:pt idx="1">
                  <c:v>71</c:v>
                </c:pt>
                <c:pt idx="2">
                  <c:v>73</c:v>
                </c:pt>
                <c:pt idx="3">
                  <c:v>74</c:v>
                </c:pt>
                <c:pt idx="4">
                  <c:v>75</c:v>
                </c:pt>
              </c:numCache>
            </c:numRef>
          </c:val>
        </c:ser>
        <c:ser>
          <c:idx val="3"/>
          <c:order val="3"/>
          <c:tx>
            <c:strRef>
              <c:f>Лист1!$F$18</c:f>
              <c:strCache>
                <c:ptCount val="1"/>
                <c:pt idx="0">
                  <c:v>Thermal power stations and heat and power plants that use biomass and biogas units </c:v>
                </c:pt>
              </c:strCache>
            </c:strRef>
          </c:tx>
          <c:invertIfNegative val="0"/>
          <c:cat>
            <c:strRef>
              <c:f>Лист1!$B$19:$B$23</c:f>
              <c:strCache>
                <c:ptCount val="5"/>
                <c:pt idx="0">
                  <c:v>2010</c:v>
                </c:pt>
                <c:pt idx="1">
                  <c:v>2011</c:v>
                </c:pt>
                <c:pt idx="2">
                  <c:v>2012</c:v>
                </c:pt>
                <c:pt idx="3">
                  <c:v>2013</c:v>
                </c:pt>
                <c:pt idx="4">
                  <c:v>2014*</c:v>
                </c:pt>
              </c:strCache>
            </c:strRef>
          </c:cat>
          <c:val>
            <c:numRef>
              <c:f>Лист1!$F$19:$F$23</c:f>
              <c:numCache>
                <c:formatCode>General</c:formatCode>
                <c:ptCount val="5"/>
                <c:pt idx="1">
                  <c:v>4.2</c:v>
                </c:pt>
                <c:pt idx="2">
                  <c:v>6.5</c:v>
                </c:pt>
                <c:pt idx="3">
                  <c:v>11.2</c:v>
                </c:pt>
                <c:pt idx="4">
                  <c:v>21</c:v>
                </c:pt>
              </c:numCache>
            </c:numRef>
          </c:val>
        </c:ser>
        <c:dLbls>
          <c:showLegendKey val="0"/>
          <c:showVal val="1"/>
          <c:showCatName val="0"/>
          <c:showSerName val="0"/>
          <c:showPercent val="0"/>
          <c:showBubbleSize val="0"/>
        </c:dLbls>
        <c:gapWidth val="150"/>
        <c:axId val="99877376"/>
        <c:axId val="45866304"/>
      </c:barChart>
      <c:catAx>
        <c:axId val="99877376"/>
        <c:scaling>
          <c:orientation val="minMax"/>
        </c:scaling>
        <c:delete val="0"/>
        <c:axPos val="b"/>
        <c:majorTickMark val="none"/>
        <c:minorTickMark val="none"/>
        <c:tickLblPos val="nextTo"/>
        <c:crossAx val="45866304"/>
        <c:crosses val="autoZero"/>
        <c:auto val="1"/>
        <c:lblAlgn val="ctr"/>
        <c:lblOffset val="100"/>
        <c:noMultiLvlLbl val="0"/>
      </c:catAx>
      <c:valAx>
        <c:axId val="45866304"/>
        <c:scaling>
          <c:orientation val="minMax"/>
        </c:scaling>
        <c:delete val="0"/>
        <c:axPos val="l"/>
        <c:majorGridlines/>
        <c:numFmt formatCode="General" sourceLinked="1"/>
        <c:majorTickMark val="none"/>
        <c:minorTickMark val="none"/>
        <c:tickLblPos val="nextTo"/>
        <c:crossAx val="99877376"/>
        <c:crosses val="autoZero"/>
        <c:crossBetween val="between"/>
      </c:valAx>
    </c:plotArea>
    <c:legend>
      <c:legendPos val="r"/>
      <c:layout>
        <c:manualLayout>
          <c:xMode val="edge"/>
          <c:yMode val="edge"/>
          <c:x val="0.6619319772528458"/>
          <c:y val="0.18230704212820903"/>
          <c:w val="0.32140135608048992"/>
          <c:h val="0.7909414712991408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Structure of the industry of renewable energy plants</a:t>
            </a:r>
            <a:r>
              <a:rPr lang="en-US" sz="1200" baseline="0"/>
              <a:t> </a:t>
            </a:r>
            <a:r>
              <a:rPr lang="en-US" sz="1200"/>
              <a:t>connected to the joint power system in Ukraine</a:t>
            </a:r>
            <a:r>
              <a:rPr lang="en-US" sz="1200" baseline="0"/>
              <a:t> in</a:t>
            </a:r>
            <a:r>
              <a:rPr lang="en-US" sz="1200"/>
              <a:t> 2013, % (guantity)</a:t>
            </a:r>
          </a:p>
          <a:p>
            <a:pPr>
              <a:defRPr sz="1200"/>
            </a:pPr>
            <a:endParaRPr lang="en-US" sz="1200"/>
          </a:p>
        </c:rich>
      </c:tx>
      <c:overlay val="0"/>
    </c:title>
    <c:autoTitleDeleted val="0"/>
    <c:plotArea>
      <c:layout/>
      <c:doughnutChart>
        <c:varyColors val="1"/>
        <c:ser>
          <c:idx val="0"/>
          <c:order val="0"/>
          <c:tx>
            <c:strRef>
              <c:f>Лист1!$A$38</c:f>
              <c:strCache>
                <c:ptCount val="1"/>
                <c:pt idx="0">
                  <c:v>Structure of the industry of renewable energy plants, connected to the joint power system in Ukraine, 2013, %</c:v>
                </c:pt>
              </c:strCache>
            </c:strRef>
          </c:tx>
          <c:dLbls>
            <c:showLegendKey val="0"/>
            <c:showVal val="1"/>
            <c:showCatName val="0"/>
            <c:showSerName val="0"/>
            <c:showPercent val="0"/>
            <c:showBubbleSize val="0"/>
            <c:showLeaderLines val="1"/>
          </c:dLbls>
          <c:cat>
            <c:strRef>
              <c:f>Лист1!$B$40:$B$44</c:f>
              <c:strCache>
                <c:ptCount val="5"/>
                <c:pt idx="0">
                  <c:v>Solar power stations</c:v>
                </c:pt>
                <c:pt idx="1">
                  <c:v>Wind power stations</c:v>
                </c:pt>
                <c:pt idx="2">
                  <c:v>Small hydro power stations</c:v>
                </c:pt>
                <c:pt idx="3">
                  <c:v>Thermal power stations and heat and power plants that use biomass</c:v>
                </c:pt>
                <c:pt idx="4">
                  <c:v>Biogas units</c:v>
                </c:pt>
              </c:strCache>
            </c:strRef>
          </c:cat>
          <c:val>
            <c:numRef>
              <c:f>Лист1!$E$40:$E$44</c:f>
              <c:numCache>
                <c:formatCode>General</c:formatCode>
                <c:ptCount val="5"/>
                <c:pt idx="0">
                  <c:v>40</c:v>
                </c:pt>
                <c:pt idx="1">
                  <c:v>9</c:v>
                </c:pt>
                <c:pt idx="2">
                  <c:v>46</c:v>
                </c:pt>
                <c:pt idx="3">
                  <c:v>2</c:v>
                </c:pt>
                <c:pt idx="4">
                  <c:v>3</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7654308836395451"/>
          <c:y val="0.20209499854184945"/>
          <c:w val="0.40679024496937877"/>
          <c:h val="0.77775444736074906"/>
        </c:manualLayout>
      </c:layout>
      <c:overlay val="0"/>
      <c:txPr>
        <a:bodyPr/>
        <a:lstStyle/>
        <a:p>
          <a:pPr rtl="0">
            <a:defRPr/>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Structure of the industry of renewable energy plants</a:t>
            </a:r>
            <a:r>
              <a:rPr lang="en-US" sz="1200" baseline="0"/>
              <a:t> </a:t>
            </a:r>
            <a:r>
              <a:rPr lang="en-US" sz="1200"/>
              <a:t>connected to the joint power system in Ukraine</a:t>
            </a:r>
            <a:r>
              <a:rPr lang="en-US" sz="1200" baseline="0"/>
              <a:t> in</a:t>
            </a:r>
            <a:r>
              <a:rPr lang="en-US" sz="1200"/>
              <a:t> 2013, % (installed capacity)</a:t>
            </a:r>
          </a:p>
        </c:rich>
      </c:tx>
      <c:layout>
        <c:manualLayout>
          <c:xMode val="edge"/>
          <c:yMode val="edge"/>
          <c:x val="0.1211248906386705"/>
          <c:y val="1.3888888888888959E-2"/>
        </c:manualLayout>
      </c:layout>
      <c:overlay val="0"/>
    </c:title>
    <c:autoTitleDeleted val="0"/>
    <c:plotArea>
      <c:layout/>
      <c:doughnutChart>
        <c:varyColors val="1"/>
        <c:ser>
          <c:idx val="0"/>
          <c:order val="0"/>
          <c:tx>
            <c:strRef>
              <c:f>Лист1!$A$38</c:f>
              <c:strCache>
                <c:ptCount val="1"/>
                <c:pt idx="0">
                  <c:v>Structure of the industry of renewable energy plants, connected to the joint power system in Ukraine, 2013, %</c:v>
                </c:pt>
              </c:strCache>
            </c:strRef>
          </c:tx>
          <c:dLbls>
            <c:dLbl>
              <c:idx val="3"/>
              <c:layout>
                <c:manualLayout>
                  <c:x val="-2.2222222222222251E-2"/>
                  <c:y val="-9.7222222222222224E-2"/>
                </c:manualLayout>
              </c:layout>
              <c:showLegendKey val="0"/>
              <c:showVal val="1"/>
              <c:showCatName val="0"/>
              <c:showSerName val="0"/>
              <c:showPercent val="0"/>
              <c:showBubbleSize val="0"/>
            </c:dLbl>
            <c:dLbl>
              <c:idx val="4"/>
              <c:layout>
                <c:manualLayout>
                  <c:x val="1.6666666666666701E-2"/>
                  <c:y val="-0.1064814814814818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Лист1!$B$40:$B$44</c:f>
              <c:strCache>
                <c:ptCount val="5"/>
                <c:pt idx="0">
                  <c:v>Solar power stations</c:v>
                </c:pt>
                <c:pt idx="1">
                  <c:v>Wind power stations</c:v>
                </c:pt>
                <c:pt idx="2">
                  <c:v>Small hydro power stations</c:v>
                </c:pt>
                <c:pt idx="3">
                  <c:v>Thermal power stations and heat and power plants that use biomass</c:v>
                </c:pt>
                <c:pt idx="4">
                  <c:v>Biogas units</c:v>
                </c:pt>
              </c:strCache>
            </c:strRef>
          </c:cat>
          <c:val>
            <c:numRef>
              <c:f>Лист1!$F$40:$F$44</c:f>
              <c:numCache>
                <c:formatCode>General</c:formatCode>
                <c:ptCount val="5"/>
                <c:pt idx="0">
                  <c:v>59</c:v>
                </c:pt>
                <c:pt idx="1">
                  <c:v>32</c:v>
                </c:pt>
                <c:pt idx="2">
                  <c:v>7</c:v>
                </c:pt>
                <c:pt idx="3">
                  <c:v>1</c:v>
                </c:pt>
                <c:pt idx="4">
                  <c:v>1</c:v>
                </c:pt>
              </c:numCache>
            </c:numRef>
          </c:val>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56265419947506567"/>
          <c:y val="0.21959499854184986"/>
          <c:w val="0.42067913385826788"/>
          <c:h val="0.75460629921260003"/>
        </c:manualLayout>
      </c:layout>
      <c:overlay val="0"/>
      <c:txPr>
        <a:bodyPr/>
        <a:lstStyle/>
        <a:p>
          <a:pPr rtl="0">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76D9-6255-470C-820C-DF96649CF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514603-E6DB-4823-9BB9-449E1DC755B9}">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1B39799-CB98-4839-9467-5400C6D78848}">
  <ds:schemaRefs>
    <ds:schemaRef ds:uri="http://schemas.microsoft.com/sharepoint/v3/contenttype/forms"/>
  </ds:schemaRefs>
</ds:datastoreItem>
</file>

<file path=customXml/itemProps4.xml><?xml version="1.0" encoding="utf-8"?>
<ds:datastoreItem xmlns:ds="http://schemas.openxmlformats.org/officeDocument/2006/customXml" ds:itemID="{61BC436B-9666-4B0D-B6D8-331F9AB1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13605</Characters>
  <Application>Microsoft Office Word</Application>
  <DocSecurity>0</DocSecurity>
  <Lines>113</Lines>
  <Paragraphs>32</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BARBIER Muriel</cp:lastModifiedBy>
  <cp:revision>2</cp:revision>
  <cp:lastPrinted>2014-07-11T08:30:00Z</cp:lastPrinted>
  <dcterms:created xsi:type="dcterms:W3CDTF">2016-10-21T12:22:00Z</dcterms:created>
  <dcterms:modified xsi:type="dcterms:W3CDTF">2016-10-21T12:22:00Z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