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5A" w:rsidRDefault="0077215A" w:rsidP="00C50CE3">
      <w:pPr>
        <w:pStyle w:val="NormalWeb"/>
        <w:spacing w:before="120" w:beforeAutospacing="0" w:after="120" w:afterAutospacing="0"/>
        <w:jc w:val="center"/>
        <w:rPr>
          <w:rFonts w:asciiTheme="minorHAnsi" w:hAnsiTheme="minorHAnsi" w:cstheme="minorHAnsi"/>
          <w:b/>
          <w:lang w:val="en-US"/>
        </w:rPr>
      </w:pPr>
      <w:bookmarkStart w:id="0" w:name="_GoBack"/>
      <w:bookmarkEnd w:id="0"/>
    </w:p>
    <w:p w:rsidR="0077215A" w:rsidRDefault="0077215A" w:rsidP="00C50CE3">
      <w:pPr>
        <w:pStyle w:val="NormalWeb"/>
        <w:spacing w:before="120" w:beforeAutospacing="0" w:after="120" w:afterAutospacing="0"/>
        <w:jc w:val="center"/>
        <w:rPr>
          <w:rFonts w:asciiTheme="minorHAnsi" w:hAnsiTheme="minorHAnsi" w:cstheme="minorHAnsi"/>
          <w:b/>
          <w:lang w:val="en-US"/>
        </w:rPr>
      </w:pPr>
    </w:p>
    <w:p w:rsidR="00C50CE3" w:rsidRDefault="0077215A" w:rsidP="00C50CE3">
      <w:pPr>
        <w:pStyle w:val="NormalWeb"/>
        <w:spacing w:before="120" w:beforeAutospacing="0" w:after="120" w:afterAutospacing="0"/>
        <w:jc w:val="center"/>
        <w:rPr>
          <w:rFonts w:asciiTheme="minorHAnsi" w:hAnsiTheme="minorHAnsi" w:cstheme="minorHAnsi"/>
          <w:b/>
          <w:lang w:val="en-US"/>
        </w:rPr>
      </w:pPr>
      <w:r>
        <w:rPr>
          <w:rFonts w:asciiTheme="minorHAnsi" w:hAnsiTheme="minorHAnsi" w:cstheme="minorHAnsi"/>
          <w:b/>
          <w:noProof/>
          <w:lang w:val="fr-FR" w:eastAsia="fr-FR"/>
        </w:rPr>
        <w:drawing>
          <wp:inline distT="0" distB="0" distL="0" distR="0">
            <wp:extent cx="2225973" cy="9429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293" cy="944805"/>
                    </a:xfrm>
                    <a:prstGeom prst="rect">
                      <a:avLst/>
                    </a:prstGeom>
                  </pic:spPr>
                </pic:pic>
              </a:graphicData>
            </a:graphic>
          </wp:inline>
        </w:drawing>
      </w:r>
      <w:r w:rsidR="00C50CE3">
        <w:rPr>
          <w:rFonts w:asciiTheme="minorHAnsi" w:hAnsiTheme="minorHAnsi" w:cstheme="minorHAnsi"/>
          <w:b/>
          <w:lang w:val="en-US"/>
        </w:rPr>
        <w:t>RENEWABLE ENERGY MARKET IN UKRAINE</w:t>
      </w:r>
    </w:p>
    <w:p w:rsidR="00C50CE3" w:rsidRDefault="00C50CE3" w:rsidP="00BB18C0">
      <w:pPr>
        <w:pStyle w:val="NormalWeb"/>
        <w:spacing w:before="120" w:beforeAutospacing="0" w:after="120" w:afterAutospacing="0"/>
        <w:jc w:val="both"/>
        <w:rPr>
          <w:rFonts w:asciiTheme="minorHAnsi" w:hAnsiTheme="minorHAnsi" w:cstheme="minorHAnsi"/>
          <w:b/>
          <w:lang w:val="en-US"/>
        </w:rPr>
      </w:pPr>
    </w:p>
    <w:p w:rsidR="00422165" w:rsidRPr="00422165" w:rsidRDefault="00422165" w:rsidP="00BB18C0">
      <w:pPr>
        <w:pStyle w:val="NormalWeb"/>
        <w:spacing w:before="120" w:beforeAutospacing="0" w:after="120" w:afterAutospacing="0"/>
        <w:jc w:val="both"/>
        <w:rPr>
          <w:rFonts w:asciiTheme="minorHAnsi" w:hAnsiTheme="minorHAnsi" w:cstheme="minorHAnsi"/>
          <w:b/>
          <w:lang w:val="en-US"/>
        </w:rPr>
      </w:pPr>
      <w:r w:rsidRPr="00422165">
        <w:rPr>
          <w:rFonts w:asciiTheme="minorHAnsi" w:hAnsiTheme="minorHAnsi" w:cstheme="minorHAnsi"/>
          <w:b/>
          <w:lang w:val="en-US"/>
        </w:rPr>
        <w:t>General overview</w:t>
      </w:r>
    </w:p>
    <w:p w:rsidR="00EF2F63" w:rsidRPr="00EF2F63" w:rsidRDefault="00EF2F63" w:rsidP="00BB18C0">
      <w:pPr>
        <w:pStyle w:val="NormalWeb"/>
        <w:spacing w:before="120" w:beforeAutospacing="0" w:after="120" w:afterAutospacing="0"/>
        <w:jc w:val="both"/>
        <w:rPr>
          <w:rFonts w:asciiTheme="minorHAnsi" w:hAnsiTheme="minorHAnsi" w:cstheme="minorHAnsi"/>
          <w:lang w:val="en-US"/>
        </w:rPr>
      </w:pPr>
      <w:r>
        <w:rPr>
          <w:rFonts w:asciiTheme="minorHAnsi" w:hAnsiTheme="minorHAnsi" w:cstheme="minorHAnsi"/>
          <w:lang w:val="en-US"/>
        </w:rPr>
        <w:t xml:space="preserve">Ukrainian </w:t>
      </w:r>
      <w:r w:rsidR="00A63911" w:rsidRPr="00422165">
        <w:rPr>
          <w:rFonts w:asciiTheme="minorHAnsi" w:hAnsiTheme="minorHAnsi" w:cstheme="minorHAnsi"/>
          <w:lang w:val="en-US"/>
        </w:rPr>
        <w:t xml:space="preserve">alternative energy sector is considered by </w:t>
      </w:r>
      <w:r>
        <w:rPr>
          <w:rFonts w:asciiTheme="minorHAnsi" w:hAnsiTheme="minorHAnsi" w:cstheme="minorHAnsi"/>
          <w:lang w:val="en-US"/>
        </w:rPr>
        <w:t>the largest international players</w:t>
      </w:r>
      <w:r w:rsidR="00A63911" w:rsidRPr="00422165">
        <w:rPr>
          <w:rFonts w:asciiTheme="minorHAnsi" w:hAnsiTheme="minorHAnsi" w:cstheme="minorHAnsi"/>
          <w:lang w:val="en-US"/>
        </w:rPr>
        <w:t xml:space="preserve"> as one of the most fast-growing and attractive </w:t>
      </w:r>
      <w:r>
        <w:rPr>
          <w:rFonts w:asciiTheme="minorHAnsi" w:hAnsiTheme="minorHAnsi" w:cstheme="minorHAnsi"/>
          <w:lang w:val="en-US"/>
        </w:rPr>
        <w:t>European market among the developing economies.</w:t>
      </w:r>
      <w:r w:rsidR="00A63911" w:rsidRPr="00422165">
        <w:rPr>
          <w:rFonts w:asciiTheme="minorHAnsi" w:hAnsiTheme="minorHAnsi" w:cstheme="minorHAnsi"/>
          <w:lang w:val="en-US"/>
        </w:rPr>
        <w:t xml:space="preserve"> This is explained, to a large extent, by the advantageous geographical conditions in Ukraine as well as increase in the prices of communal services, such as electricity and heating in the last two years and </w:t>
      </w:r>
      <w:r w:rsidR="0041131B" w:rsidRPr="00422165">
        <w:rPr>
          <w:rFonts w:asciiTheme="minorHAnsi" w:hAnsiTheme="minorHAnsi" w:cstheme="minorHAnsi"/>
          <w:lang w:val="en-US"/>
        </w:rPr>
        <w:t>favorable</w:t>
      </w:r>
      <w:r w:rsidR="00A63911" w:rsidRPr="00422165">
        <w:rPr>
          <w:rFonts w:asciiTheme="minorHAnsi" w:hAnsiTheme="minorHAnsi" w:cstheme="minorHAnsi"/>
          <w:lang w:val="en-US"/>
        </w:rPr>
        <w:t xml:space="preserve"> legal framework. </w:t>
      </w:r>
    </w:p>
    <w:p w:rsidR="008316DB" w:rsidRPr="00422165" w:rsidRDefault="00CF16DF" w:rsidP="00CF16DF">
      <w:pPr>
        <w:pStyle w:val="NormalWeb"/>
        <w:shd w:val="clear" w:color="auto" w:fill="FFFFFF"/>
        <w:spacing w:before="0" w:beforeAutospacing="0" w:after="345" w:afterAutospacing="0"/>
        <w:jc w:val="both"/>
        <w:textAlignment w:val="baseline"/>
        <w:rPr>
          <w:rFonts w:asciiTheme="minorHAnsi" w:hAnsiTheme="minorHAnsi" w:cstheme="minorHAnsi"/>
          <w:lang w:val="en-US"/>
        </w:rPr>
      </w:pPr>
      <w:r w:rsidRPr="00EF2F63">
        <w:rPr>
          <w:rFonts w:asciiTheme="minorHAnsi" w:hAnsiTheme="minorHAnsi" w:cstheme="minorHAnsi"/>
          <w:lang w:val="en-US"/>
        </w:rPr>
        <w:t>In its 2014 national action plan</w:t>
      </w:r>
      <w:r w:rsidR="00C50CE3">
        <w:rPr>
          <w:rFonts w:asciiTheme="minorHAnsi" w:hAnsiTheme="minorHAnsi" w:cstheme="minorHAnsi"/>
          <w:lang w:val="en-US"/>
        </w:rPr>
        <w:t xml:space="preserve"> (Figure 1)</w:t>
      </w:r>
      <w:r w:rsidRPr="00EF2F63">
        <w:rPr>
          <w:rFonts w:asciiTheme="minorHAnsi" w:hAnsiTheme="minorHAnsi" w:cstheme="minorHAnsi"/>
          <w:lang w:val="en-US"/>
        </w:rPr>
        <w:t>, Ukraine set the target of producing 11</w:t>
      </w:r>
      <w:r w:rsidR="00FC7EC9">
        <w:rPr>
          <w:rFonts w:asciiTheme="minorHAnsi" w:hAnsiTheme="minorHAnsi" w:cstheme="minorHAnsi"/>
          <w:lang w:val="en-US"/>
        </w:rPr>
        <w:t xml:space="preserve">% </w:t>
      </w:r>
      <w:r w:rsidRPr="00EF2F63">
        <w:rPr>
          <w:rFonts w:asciiTheme="minorHAnsi" w:hAnsiTheme="minorHAnsi" w:cstheme="minorHAnsi"/>
          <w:lang w:val="en-US"/>
        </w:rPr>
        <w:t xml:space="preserve">of its energy from renewable sources by 2020. However, barring a massive influx of investment, it is likely to miss this goal. Renewables have attracted significant interest, but accounted for just 1.3% </w:t>
      </w:r>
      <w:r w:rsidR="009104A4">
        <w:rPr>
          <w:rFonts w:asciiTheme="minorHAnsi" w:hAnsiTheme="minorHAnsi" w:cstheme="minorHAnsi"/>
          <w:lang w:val="en-US"/>
        </w:rPr>
        <w:t xml:space="preserve">of </w:t>
      </w:r>
      <w:r w:rsidRPr="00EF2F63">
        <w:rPr>
          <w:rFonts w:asciiTheme="minorHAnsi" w:hAnsiTheme="minorHAnsi" w:cstheme="minorHAnsi"/>
          <w:lang w:val="en-US"/>
        </w:rPr>
        <w:t xml:space="preserve">Ukraine’s energy production in 2016, with another 6.1% from large-scale hydroelectric plants. One issue is that the 11% target does not factor in the Russian occupation </w:t>
      </w:r>
      <w:r w:rsidR="00A92C21" w:rsidRPr="00EF2F63">
        <w:rPr>
          <w:rFonts w:asciiTheme="minorHAnsi" w:hAnsiTheme="minorHAnsi" w:cstheme="minorHAnsi"/>
          <w:lang w:val="en-US"/>
        </w:rPr>
        <w:t xml:space="preserve">of Crimea </w:t>
      </w:r>
      <w:r w:rsidRPr="00EF2F63">
        <w:rPr>
          <w:rFonts w:asciiTheme="minorHAnsi" w:hAnsiTheme="minorHAnsi" w:cstheme="minorHAnsi"/>
          <w:lang w:val="en-US"/>
        </w:rPr>
        <w:t>since 2014 and parts of the eastern Donbas, a major setback.</w:t>
      </w:r>
      <w:r w:rsidRPr="00422165">
        <w:rPr>
          <w:rFonts w:asciiTheme="minorHAnsi" w:hAnsiTheme="minorHAnsi" w:cstheme="minorHAnsi"/>
          <w:lang w:val="en-US"/>
        </w:rPr>
        <w:t xml:space="preserve"> </w:t>
      </w:r>
    </w:p>
    <w:p w:rsidR="00CF16DF" w:rsidRPr="0077215A" w:rsidRDefault="00C50CE3" w:rsidP="00CF16DF">
      <w:pPr>
        <w:pStyle w:val="NormalWeb"/>
        <w:shd w:val="clear" w:color="auto" w:fill="FFFFFF"/>
        <w:spacing w:before="120" w:beforeAutospacing="0" w:after="120" w:afterAutospacing="0"/>
        <w:textAlignment w:val="baseline"/>
        <w:rPr>
          <w:rFonts w:asciiTheme="minorHAnsi" w:hAnsiTheme="minorHAnsi" w:cstheme="minorHAnsi"/>
          <w:noProof/>
          <w:sz w:val="18"/>
          <w:szCs w:val="18"/>
          <w:lang w:val="en-GB"/>
        </w:rPr>
      </w:pPr>
      <w:r>
        <w:rPr>
          <w:noProof/>
          <w:lang w:val="fr-FR" w:eastAsia="fr-FR"/>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77215A">
        <w:rPr>
          <w:rFonts w:asciiTheme="minorHAnsi" w:hAnsiTheme="minorHAnsi" w:cstheme="minorHAnsi"/>
          <w:noProof/>
          <w:sz w:val="18"/>
          <w:szCs w:val="18"/>
          <w:lang w:val="en-GB"/>
        </w:rPr>
        <w:t xml:space="preserve"> </w:t>
      </w:r>
    </w:p>
    <w:p w:rsidR="00C50CE3" w:rsidRPr="00C50CE3" w:rsidRDefault="00C50CE3" w:rsidP="00C50CE3">
      <w:pPr>
        <w:pStyle w:val="NormalWeb"/>
        <w:spacing w:before="120" w:beforeAutospacing="0" w:after="120" w:afterAutospacing="0"/>
        <w:jc w:val="both"/>
        <w:rPr>
          <w:rFonts w:asciiTheme="minorHAnsi" w:hAnsiTheme="minorHAnsi" w:cstheme="minorHAnsi"/>
          <w:i/>
          <w:sz w:val="20"/>
          <w:szCs w:val="20"/>
          <w:lang w:val="en-US"/>
        </w:rPr>
      </w:pPr>
      <w:r w:rsidRPr="00C50CE3">
        <w:rPr>
          <w:rFonts w:asciiTheme="minorHAnsi" w:hAnsiTheme="minorHAnsi" w:cstheme="minorHAnsi"/>
          <w:i/>
          <w:sz w:val="20"/>
          <w:szCs w:val="20"/>
          <w:lang w:val="en-US"/>
        </w:rPr>
        <w:t>Source: Institute for Social and Economic Research, Kyiv Post</w:t>
      </w:r>
    </w:p>
    <w:p w:rsidR="00C50CE3" w:rsidRDefault="00C50CE3" w:rsidP="00422165">
      <w:pPr>
        <w:pStyle w:val="NormalWeb"/>
        <w:shd w:val="clear" w:color="auto" w:fill="FFFFFF"/>
        <w:spacing w:before="120" w:beforeAutospacing="0" w:after="120" w:afterAutospacing="0"/>
        <w:jc w:val="both"/>
        <w:textAlignment w:val="baseline"/>
        <w:rPr>
          <w:rFonts w:asciiTheme="minorHAnsi" w:hAnsiTheme="minorHAnsi" w:cstheme="minorHAnsi"/>
          <w:lang w:val="en-US"/>
        </w:rPr>
      </w:pPr>
    </w:p>
    <w:p w:rsidR="00027D39" w:rsidRPr="00422165" w:rsidRDefault="00027D39" w:rsidP="00422165">
      <w:pPr>
        <w:pStyle w:val="NormalWeb"/>
        <w:shd w:val="clear" w:color="auto" w:fill="FFFFFF"/>
        <w:spacing w:before="120" w:beforeAutospacing="0" w:after="120" w:afterAutospacing="0"/>
        <w:jc w:val="both"/>
        <w:textAlignment w:val="baseline"/>
        <w:rPr>
          <w:rFonts w:asciiTheme="minorHAnsi" w:hAnsiTheme="minorHAnsi" w:cstheme="minorHAnsi"/>
          <w:sz w:val="27"/>
          <w:szCs w:val="27"/>
          <w:lang w:val="en-US"/>
        </w:rPr>
      </w:pPr>
      <w:r w:rsidRPr="00422165">
        <w:rPr>
          <w:rFonts w:asciiTheme="minorHAnsi" w:hAnsiTheme="minorHAnsi" w:cstheme="minorHAnsi"/>
          <w:lang w:val="en-US"/>
        </w:rPr>
        <w:t>In September 2017 the Energy Strategy of Ukraine until 2035 was presented by the Ministry of energy and Coal Industry of Ukraine. According to this document, the renewable energy industry should pay a significant role in the development of the energy sector.</w:t>
      </w:r>
    </w:p>
    <w:p w:rsidR="005C5946" w:rsidRDefault="005C5946" w:rsidP="00BB18C0">
      <w:pPr>
        <w:pStyle w:val="NormalWeb"/>
        <w:spacing w:before="120" w:beforeAutospacing="0" w:after="120" w:afterAutospacing="0"/>
        <w:jc w:val="both"/>
        <w:rPr>
          <w:rFonts w:asciiTheme="minorHAnsi" w:hAnsiTheme="minorHAnsi" w:cstheme="minorHAnsi"/>
          <w:lang w:val="en-US"/>
        </w:rPr>
      </w:pPr>
    </w:p>
    <w:p w:rsidR="005C5946" w:rsidRDefault="005C5946" w:rsidP="00BB18C0">
      <w:pPr>
        <w:pStyle w:val="NormalWeb"/>
        <w:spacing w:before="120" w:beforeAutospacing="0" w:after="120" w:afterAutospacing="0"/>
        <w:jc w:val="both"/>
        <w:rPr>
          <w:rFonts w:asciiTheme="minorHAnsi" w:hAnsiTheme="minorHAnsi" w:cstheme="minorHAnsi"/>
          <w:lang w:val="en-US"/>
        </w:rPr>
      </w:pPr>
    </w:p>
    <w:p w:rsidR="00061E7A" w:rsidRPr="00422165" w:rsidRDefault="00A63911"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Following a couple of years of relative silence on the alternative energy market in Ukraine, a substantial increase in the number of commissioned renewable energy projects </w:t>
      </w:r>
      <w:r w:rsidR="00833CF2">
        <w:rPr>
          <w:rFonts w:asciiTheme="minorHAnsi" w:hAnsiTheme="minorHAnsi" w:cstheme="minorHAnsi"/>
          <w:lang w:val="en-US"/>
        </w:rPr>
        <w:t>was</w:t>
      </w:r>
      <w:r w:rsidRPr="00422165">
        <w:rPr>
          <w:rFonts w:asciiTheme="minorHAnsi" w:hAnsiTheme="minorHAnsi" w:cstheme="minorHAnsi"/>
          <w:lang w:val="en-US"/>
        </w:rPr>
        <w:t xml:space="preserve"> observed in 2016 and the</w:t>
      </w:r>
      <w:r w:rsidR="00833CF2">
        <w:rPr>
          <w:rFonts w:asciiTheme="minorHAnsi" w:hAnsiTheme="minorHAnsi" w:cstheme="minorHAnsi"/>
          <w:lang w:val="en-US"/>
        </w:rPr>
        <w:t xml:space="preserve"> in the</w:t>
      </w:r>
      <w:r w:rsidRPr="00422165">
        <w:rPr>
          <w:rFonts w:asciiTheme="minorHAnsi" w:hAnsiTheme="minorHAnsi" w:cstheme="minorHAnsi"/>
          <w:lang w:val="en-US"/>
        </w:rPr>
        <w:t xml:space="preserve"> beginning of 2017. Thus, a couple of dozen projects, mainly in relation to wind, solar and biomass energy, </w:t>
      </w:r>
      <w:r w:rsidR="00CD1D9E">
        <w:rPr>
          <w:rFonts w:asciiTheme="minorHAnsi" w:hAnsiTheme="minorHAnsi" w:cstheme="minorHAnsi"/>
          <w:lang w:val="en-US"/>
        </w:rPr>
        <w:t>was</w:t>
      </w:r>
      <w:r w:rsidRPr="00422165">
        <w:rPr>
          <w:rFonts w:asciiTheme="minorHAnsi" w:hAnsiTheme="minorHAnsi" w:cstheme="minorHAnsi"/>
          <w:lang w:val="en-US"/>
        </w:rPr>
        <w:t xml:space="preserve"> completed in 2016 or are at their ﬁnal stages of completion. Many of these projects are carried out by foreign inve</w:t>
      </w:r>
      <w:r w:rsidR="00134573" w:rsidRPr="00422165">
        <w:rPr>
          <w:rFonts w:asciiTheme="minorHAnsi" w:hAnsiTheme="minorHAnsi" w:cstheme="minorHAnsi"/>
          <w:lang w:val="en-US"/>
        </w:rPr>
        <w:t xml:space="preserve">stors, who turned to the </w:t>
      </w:r>
      <w:r w:rsidR="00134573" w:rsidRPr="00964908">
        <w:rPr>
          <w:rFonts w:asciiTheme="minorHAnsi" w:hAnsiTheme="minorHAnsi" w:cstheme="minorHAnsi"/>
          <w:lang w:val="en-US"/>
        </w:rPr>
        <w:t>Ukrain</w:t>
      </w:r>
      <w:r w:rsidRPr="00964908">
        <w:rPr>
          <w:rFonts w:asciiTheme="minorHAnsi" w:hAnsiTheme="minorHAnsi" w:cstheme="minorHAnsi"/>
          <w:lang w:val="en-US"/>
        </w:rPr>
        <w:t xml:space="preserve">ian market following introduction of legal reforms in relation to feed-in tariff regulation in mid-2015. </w:t>
      </w:r>
      <w:r w:rsidR="00134573" w:rsidRPr="00964908">
        <w:rPr>
          <w:rFonts w:asciiTheme="minorHAnsi" w:hAnsiTheme="minorHAnsi" w:cstheme="minorHAnsi"/>
          <w:lang w:val="en-US"/>
        </w:rPr>
        <w:t xml:space="preserve">The plans to construct high capacity solar power stations in the Chernobyl exclusion zone </w:t>
      </w:r>
      <w:r w:rsidR="00061E7A" w:rsidRPr="00964908">
        <w:rPr>
          <w:rFonts w:asciiTheme="minorHAnsi" w:hAnsiTheme="minorHAnsi" w:cstheme="minorHAnsi"/>
          <w:lang w:val="en-US"/>
        </w:rPr>
        <w:t xml:space="preserve">were </w:t>
      </w:r>
      <w:r w:rsidR="00134573" w:rsidRPr="00964908">
        <w:rPr>
          <w:rFonts w:asciiTheme="minorHAnsi" w:hAnsiTheme="minorHAnsi" w:cstheme="minorHAnsi"/>
          <w:lang w:val="en-US"/>
        </w:rPr>
        <w:t>announc</w:t>
      </w:r>
      <w:r w:rsidR="00CA04F8" w:rsidRPr="00964908">
        <w:rPr>
          <w:rFonts w:asciiTheme="minorHAnsi" w:hAnsiTheme="minorHAnsi" w:cstheme="minorHAnsi"/>
          <w:lang w:val="en-US"/>
        </w:rPr>
        <w:t>ed by the Government of Ukraine.</w:t>
      </w:r>
    </w:p>
    <w:p w:rsidR="00BB18C0" w:rsidRPr="00422165" w:rsidRDefault="00195E30"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1 775 million kWh of electricity was generated from renewable sources </w:t>
      </w:r>
      <w:r w:rsidR="002F60CB">
        <w:rPr>
          <w:rFonts w:asciiTheme="minorHAnsi" w:hAnsiTheme="minorHAnsi" w:cstheme="minorHAnsi"/>
          <w:lang w:val="en-US"/>
        </w:rPr>
        <w:t>in Ukraine in 2016 which is 183.</w:t>
      </w:r>
      <w:r w:rsidRPr="00422165">
        <w:rPr>
          <w:rFonts w:asciiTheme="minorHAnsi" w:hAnsiTheme="minorHAnsi" w:cstheme="minorHAnsi"/>
          <w:lang w:val="en-US"/>
        </w:rPr>
        <w:t xml:space="preserve">9 million kWh more </w:t>
      </w:r>
      <w:r w:rsidR="00BA50DE" w:rsidRPr="00422165">
        <w:rPr>
          <w:rFonts w:asciiTheme="minorHAnsi" w:hAnsiTheme="minorHAnsi" w:cstheme="minorHAnsi"/>
          <w:lang w:val="en-US"/>
        </w:rPr>
        <w:t>than</w:t>
      </w:r>
      <w:r w:rsidRPr="00422165">
        <w:rPr>
          <w:rFonts w:asciiTheme="minorHAnsi" w:hAnsiTheme="minorHAnsi" w:cstheme="minorHAnsi"/>
          <w:lang w:val="en-US"/>
        </w:rPr>
        <w:t xml:space="preserve"> in previous year. Renewable electricity saved about 1 million 315 thousand ton</w:t>
      </w:r>
      <w:r w:rsidR="000D0A7A">
        <w:rPr>
          <w:rFonts w:asciiTheme="minorHAnsi" w:hAnsiTheme="minorHAnsi" w:cstheme="minorHAnsi"/>
          <w:lang w:val="en-US"/>
        </w:rPr>
        <w:t>s</w:t>
      </w:r>
      <w:r w:rsidRPr="00422165">
        <w:rPr>
          <w:rFonts w:asciiTheme="minorHAnsi" w:hAnsiTheme="minorHAnsi" w:cstheme="minorHAnsi"/>
          <w:lang w:val="en-US"/>
        </w:rPr>
        <w:t xml:space="preserve"> of CO2 emission. The RES share in total electricity generation in Ukraine reached 1% in 2016. </w:t>
      </w:r>
    </w:p>
    <w:p w:rsidR="00195E30" w:rsidRPr="00422165" w:rsidRDefault="00726D2E" w:rsidP="00BB18C0">
      <w:pPr>
        <w:pStyle w:val="NormalWeb"/>
        <w:spacing w:before="120" w:beforeAutospacing="0" w:after="120" w:afterAutospacing="0"/>
        <w:jc w:val="both"/>
        <w:rPr>
          <w:rFonts w:asciiTheme="minorHAnsi" w:hAnsiTheme="minorHAnsi" w:cstheme="minorHAnsi"/>
          <w:lang w:val="en-US"/>
        </w:rPr>
      </w:pPr>
      <w:r>
        <w:rPr>
          <w:noProof/>
          <w:lang w:val="fr-FR" w:eastAsia="fr-FR"/>
        </w:rPr>
        <w:drawing>
          <wp:inline distT="0" distB="0" distL="0" distR="0">
            <wp:extent cx="5191125" cy="28194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18C0" w:rsidRPr="00726D2E" w:rsidRDefault="00726D2E" w:rsidP="00BB18C0">
      <w:pPr>
        <w:pStyle w:val="NormalWeb"/>
        <w:spacing w:before="120" w:beforeAutospacing="0" w:after="120" w:afterAutospacing="0"/>
        <w:jc w:val="both"/>
        <w:rPr>
          <w:rFonts w:asciiTheme="minorHAnsi" w:hAnsiTheme="minorHAnsi" w:cstheme="minorHAnsi"/>
          <w:i/>
          <w:sz w:val="20"/>
          <w:szCs w:val="20"/>
          <w:lang w:val="en-US"/>
        </w:rPr>
      </w:pPr>
      <w:r w:rsidRPr="00726D2E">
        <w:rPr>
          <w:rFonts w:asciiTheme="minorHAnsi" w:hAnsiTheme="minorHAnsi" w:cstheme="minorHAnsi"/>
          <w:i/>
          <w:sz w:val="20"/>
          <w:szCs w:val="20"/>
          <w:lang w:val="en-US"/>
        </w:rPr>
        <w:t xml:space="preserve">Source: Ukrainian Wind Energy Association </w:t>
      </w:r>
    </w:p>
    <w:p w:rsidR="00726D2E" w:rsidRDefault="00726D2E" w:rsidP="00BB18C0">
      <w:pPr>
        <w:pStyle w:val="NormalWeb"/>
        <w:spacing w:before="120" w:beforeAutospacing="0" w:after="120" w:afterAutospacing="0"/>
        <w:jc w:val="both"/>
        <w:rPr>
          <w:rFonts w:asciiTheme="minorHAnsi" w:hAnsiTheme="minorHAnsi" w:cstheme="minorHAnsi"/>
          <w:lang w:val="en-US"/>
        </w:rPr>
      </w:pPr>
    </w:p>
    <w:p w:rsidR="00BB18C0" w:rsidRPr="00422165" w:rsidRDefault="00BB18C0"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As a result of first 6 months of 2017, 79 new renewable energy facilities with a total capacity of 182.7 MW were built in Ukraine. Total investments in these projects exceeded EUR 210 million. The total capacity of renewable energy facilities in Ukraine exceeded 1.64GW. It is estimated that by the end of the year, this figure may exceed 1.52 GW. </w:t>
      </w:r>
    </w:p>
    <w:p w:rsidR="003B2F52" w:rsidRDefault="003B2F52" w:rsidP="003B2F52">
      <w:pPr>
        <w:pStyle w:val="NormalWeb"/>
        <w:shd w:val="clear" w:color="auto" w:fill="FFFFFF"/>
        <w:spacing w:before="0" w:beforeAutospacing="0" w:after="158" w:afterAutospacing="0"/>
        <w:jc w:val="both"/>
        <w:rPr>
          <w:rFonts w:asciiTheme="minorHAnsi" w:hAnsiTheme="minorHAnsi" w:cstheme="minorHAnsi"/>
          <w:lang w:val="en-US"/>
        </w:rPr>
      </w:pPr>
      <w:r w:rsidRPr="00422165">
        <w:rPr>
          <w:rFonts w:asciiTheme="minorHAnsi" w:hAnsiTheme="minorHAnsi" w:cstheme="minorHAnsi"/>
          <w:lang w:val="en-US"/>
        </w:rPr>
        <w:t>As of June 1, 2017, the total power of renewable energy sources in Ukraine, including solar and wind energy, small hydropower and biomass power plants (biogas), amounted to 1461.7 MW. During the first half of 2017, the total power of solar power stations increased</w:t>
      </w:r>
      <w:r w:rsidR="004454DE" w:rsidRPr="00422165">
        <w:rPr>
          <w:rFonts w:asciiTheme="minorHAnsi" w:hAnsiTheme="minorHAnsi" w:cstheme="minorHAnsi"/>
          <w:lang w:val="en-US"/>
        </w:rPr>
        <w:t> by</w:t>
      </w:r>
      <w:r w:rsidRPr="00422165">
        <w:rPr>
          <w:rFonts w:asciiTheme="minorHAnsi" w:hAnsiTheme="minorHAnsi" w:cstheme="minorHAnsi"/>
          <w:lang w:val="en-US"/>
        </w:rPr>
        <w:t xml:space="preserve"> 132 MW (</w:t>
      </w:r>
      <w:r w:rsidR="004454DE">
        <w:rPr>
          <w:rFonts w:asciiTheme="minorHAnsi" w:hAnsiTheme="minorHAnsi" w:cstheme="minorHAnsi"/>
          <w:lang w:val="en-US"/>
        </w:rPr>
        <w:t>an augmentation of</w:t>
      </w:r>
      <w:r w:rsidRPr="00422165">
        <w:rPr>
          <w:rFonts w:asciiTheme="minorHAnsi" w:hAnsiTheme="minorHAnsi" w:cstheme="minorHAnsi"/>
          <w:lang w:val="en-US"/>
        </w:rPr>
        <w:t xml:space="preserve"> 23% compared to January 1, 2017) to 705 MW in Ukraine. During this period, 6</w:t>
      </w:r>
      <w:r w:rsidR="004218C5">
        <w:rPr>
          <w:rFonts w:asciiTheme="minorHAnsi" w:hAnsiTheme="minorHAnsi" w:cstheme="minorHAnsi"/>
          <w:lang w:val="en-US"/>
        </w:rPr>
        <w:t xml:space="preserve">7 new solar power stations were </w:t>
      </w:r>
      <w:r w:rsidRPr="00422165">
        <w:rPr>
          <w:rFonts w:asciiTheme="minorHAnsi" w:hAnsiTheme="minorHAnsi" w:cstheme="minorHAnsi"/>
          <w:lang w:val="en-US"/>
        </w:rPr>
        <w:t>constructed.</w:t>
      </w:r>
    </w:p>
    <w:p w:rsidR="005C5946" w:rsidRDefault="005C5946" w:rsidP="003B2F52">
      <w:pPr>
        <w:pStyle w:val="NormalWeb"/>
        <w:shd w:val="clear" w:color="auto" w:fill="FFFFFF"/>
        <w:spacing w:before="0" w:beforeAutospacing="0" w:after="158" w:afterAutospacing="0"/>
        <w:jc w:val="both"/>
        <w:rPr>
          <w:rFonts w:asciiTheme="minorHAnsi" w:hAnsiTheme="minorHAnsi" w:cstheme="minorHAnsi"/>
          <w:lang w:val="en-US"/>
        </w:rPr>
      </w:pPr>
    </w:p>
    <w:p w:rsidR="005C5946" w:rsidRDefault="005C5946" w:rsidP="003B2F52">
      <w:pPr>
        <w:pStyle w:val="NormalWeb"/>
        <w:shd w:val="clear" w:color="auto" w:fill="FFFFFF"/>
        <w:spacing w:before="0" w:beforeAutospacing="0" w:after="158" w:afterAutospacing="0"/>
        <w:jc w:val="both"/>
        <w:rPr>
          <w:rFonts w:asciiTheme="minorHAnsi" w:hAnsiTheme="minorHAnsi" w:cstheme="minorHAnsi"/>
          <w:lang w:val="en-US"/>
        </w:rPr>
      </w:pPr>
    </w:p>
    <w:p w:rsidR="005C5946" w:rsidRDefault="005C5946" w:rsidP="003B2F52">
      <w:pPr>
        <w:pStyle w:val="NormalWeb"/>
        <w:shd w:val="clear" w:color="auto" w:fill="FFFFFF"/>
        <w:spacing w:before="0" w:beforeAutospacing="0" w:after="158" w:afterAutospacing="0"/>
        <w:jc w:val="both"/>
        <w:rPr>
          <w:rFonts w:asciiTheme="minorHAnsi" w:hAnsiTheme="minorHAnsi" w:cstheme="minorHAnsi"/>
          <w:lang w:val="en-US"/>
        </w:rPr>
      </w:pPr>
    </w:p>
    <w:p w:rsidR="005C5946" w:rsidRPr="00422165" w:rsidRDefault="005C5946" w:rsidP="003B2F52">
      <w:pPr>
        <w:pStyle w:val="NormalWeb"/>
        <w:shd w:val="clear" w:color="auto" w:fill="FFFFFF"/>
        <w:spacing w:before="0" w:beforeAutospacing="0" w:after="158" w:afterAutospacing="0"/>
        <w:jc w:val="both"/>
        <w:rPr>
          <w:rFonts w:asciiTheme="minorHAnsi" w:hAnsiTheme="minorHAnsi" w:cstheme="minorHAnsi"/>
          <w:lang w:val="en-US"/>
        </w:rPr>
      </w:pPr>
    </w:p>
    <w:p w:rsidR="003B2F52" w:rsidRPr="00422165" w:rsidRDefault="003B2F52" w:rsidP="003B2F52">
      <w:pPr>
        <w:pStyle w:val="NormalWeb"/>
        <w:shd w:val="clear" w:color="auto" w:fill="FFFFFF"/>
        <w:spacing w:before="0" w:beforeAutospacing="0" w:after="158" w:afterAutospacing="0"/>
        <w:jc w:val="both"/>
        <w:rPr>
          <w:rFonts w:asciiTheme="minorHAnsi" w:hAnsiTheme="minorHAnsi" w:cstheme="minorHAnsi"/>
          <w:lang w:val="en-US"/>
        </w:rPr>
      </w:pPr>
      <w:r w:rsidRPr="00422165">
        <w:rPr>
          <w:rFonts w:asciiTheme="minorHAnsi" w:hAnsiTheme="minorHAnsi" w:cstheme="minorHAnsi"/>
          <w:lang w:val="en-US"/>
        </w:rPr>
        <w:t>The capacity of the wind farms has increased during the reporting period by 20.7 MW (+ 4.7% from the beginning of the year) to 458.7 MW (data of the Ukrainian Wind Energy Association, UWEA). The capacities of small hydroelectric power stations make up 120 MW as of June 1, 2017 (+2 MW in the first half of the year). The growth of power facilities of biomass generation electricity was also almost 2 MW - up to 33 MW.</w:t>
      </w:r>
    </w:p>
    <w:p w:rsidR="00BB18C0" w:rsidRPr="00422165" w:rsidRDefault="003B2F52" w:rsidP="003B2F52">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In accordance with the</w:t>
      </w:r>
      <w:r w:rsidR="00BB18C0" w:rsidRPr="00422165">
        <w:rPr>
          <w:rFonts w:asciiTheme="minorHAnsi" w:hAnsiTheme="minorHAnsi" w:cstheme="minorHAnsi"/>
          <w:lang w:val="en-US"/>
        </w:rPr>
        <w:t xml:space="preserve"> forecasts, in 2017 the Ukrainian market of equipment and services for renewable energy will exceed EUR 400 million. More than 60% of the Ukrainian renewable energy market will occupy the solar energy segment, about 30% - wind power, 10% will be the projects in the field of small hydropower and biomass energy.</w:t>
      </w:r>
    </w:p>
    <w:p w:rsidR="003B2F52" w:rsidRPr="00422165" w:rsidRDefault="003B2F52" w:rsidP="003B2F52">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According to the experts from IB Centre expert group, by the end of 2017, the Ukrainian and foreign developers are implementing in Ukraine more than 70 new investment projects in the field of renewable energy with a total installed capacity of more than 430 MW. In particular, in the second half of this year, 57 new large and medium-sized </w:t>
      </w:r>
      <w:r w:rsidRPr="00422165">
        <w:rPr>
          <w:rFonts w:asciiTheme="minorHAnsi" w:hAnsiTheme="minorHAnsi" w:cstheme="minorHAnsi"/>
          <w:i/>
          <w:lang w:val="en-US"/>
        </w:rPr>
        <w:t>PV plants,</w:t>
      </w:r>
      <w:r w:rsidRPr="00422165">
        <w:rPr>
          <w:rFonts w:asciiTheme="minorHAnsi" w:hAnsiTheme="minorHAnsi" w:cstheme="minorHAnsi"/>
          <w:lang w:val="en-US"/>
        </w:rPr>
        <w:t xml:space="preserve"> as well as several hundred small roof solar power stations with a total capacity of around 360 MW will be built in Ukraine.</w:t>
      </w:r>
    </w:p>
    <w:p w:rsidR="003B2F52" w:rsidRPr="00422165" w:rsidRDefault="003B2F52" w:rsidP="003B2F52">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In the segment of </w:t>
      </w:r>
      <w:r w:rsidRPr="00422165">
        <w:rPr>
          <w:rFonts w:asciiTheme="minorHAnsi" w:hAnsiTheme="minorHAnsi" w:cstheme="minorHAnsi"/>
          <w:i/>
          <w:lang w:val="en-US"/>
        </w:rPr>
        <w:t xml:space="preserve">wind energy </w:t>
      </w:r>
      <w:r w:rsidRPr="00422165">
        <w:rPr>
          <w:rFonts w:asciiTheme="minorHAnsi" w:hAnsiTheme="minorHAnsi" w:cstheme="minorHAnsi"/>
          <w:lang w:val="en-US"/>
        </w:rPr>
        <w:t xml:space="preserve">in the second half of 2017, the growth is expected at a level exceeding 50 MW - up to 510 MW. In the segment of </w:t>
      </w:r>
      <w:r w:rsidRPr="00422165">
        <w:rPr>
          <w:rFonts w:asciiTheme="minorHAnsi" w:hAnsiTheme="minorHAnsi" w:cstheme="minorHAnsi"/>
          <w:i/>
          <w:lang w:val="en-US"/>
        </w:rPr>
        <w:t>small hydropower</w:t>
      </w:r>
      <w:r w:rsidR="00753207">
        <w:rPr>
          <w:rFonts w:asciiTheme="minorHAnsi" w:hAnsiTheme="minorHAnsi" w:cstheme="minorHAnsi"/>
          <w:lang w:val="en-US"/>
        </w:rPr>
        <w:t xml:space="preserve">, </w:t>
      </w:r>
      <w:r w:rsidRPr="00422165">
        <w:rPr>
          <w:rFonts w:asciiTheme="minorHAnsi" w:hAnsiTheme="minorHAnsi" w:cstheme="minorHAnsi"/>
          <w:lang w:val="en-US"/>
        </w:rPr>
        <w:t>a slight increase of 0.8 MW</w:t>
      </w:r>
      <w:r w:rsidR="00753207">
        <w:rPr>
          <w:rFonts w:asciiTheme="minorHAnsi" w:hAnsiTheme="minorHAnsi" w:cstheme="minorHAnsi"/>
          <w:lang w:val="en-US"/>
        </w:rPr>
        <w:t xml:space="preserve"> is expected</w:t>
      </w:r>
      <w:r w:rsidRPr="00422165">
        <w:rPr>
          <w:rFonts w:asciiTheme="minorHAnsi" w:hAnsiTheme="minorHAnsi" w:cstheme="minorHAnsi"/>
          <w:lang w:val="en-US"/>
        </w:rPr>
        <w:t xml:space="preserve">. In the </w:t>
      </w:r>
      <w:r w:rsidRPr="00422165">
        <w:rPr>
          <w:rFonts w:asciiTheme="minorHAnsi" w:hAnsiTheme="minorHAnsi" w:cstheme="minorHAnsi"/>
          <w:i/>
          <w:lang w:val="en-US"/>
        </w:rPr>
        <w:t>biomass segment</w:t>
      </w:r>
      <w:r w:rsidRPr="00422165">
        <w:rPr>
          <w:rFonts w:asciiTheme="minorHAnsi" w:hAnsiTheme="minorHAnsi" w:cstheme="minorHAnsi"/>
          <w:lang w:val="en-US"/>
        </w:rPr>
        <w:t>, the forecast of capacity growth is 4 MW to 37 MW for the electricity generation and more than 26 MW to 306 MW for the heat generation from biomass. Thus, according to the results of 2017, the total capacity of renewable energy facilities in Ukraine can reach 1.9 GW, which is more than 4.3% in the overall energy balance.</w:t>
      </w:r>
    </w:p>
    <w:p w:rsidR="006A645F" w:rsidRPr="00422165" w:rsidRDefault="006A645F"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In December 2017 Ukrainian President Petro Poroshenko signed the law on Ukraine's accession to the statute of the International Renewable Energy Agency (IRENA). After joining IRENA, Ukraine will be able to increase green investments, get cheap loans for "green" projects, and develop joint mechanisms for financing the preparation and implementation of quality projects.</w:t>
      </w:r>
    </w:p>
    <w:p w:rsidR="00195E30" w:rsidRPr="00422165" w:rsidRDefault="00195E30" w:rsidP="00BB18C0">
      <w:pPr>
        <w:pStyle w:val="NormalWeb"/>
        <w:spacing w:before="120" w:beforeAutospacing="0" w:after="120" w:afterAutospacing="0"/>
        <w:jc w:val="both"/>
        <w:rPr>
          <w:rFonts w:asciiTheme="minorHAnsi" w:hAnsiTheme="minorHAnsi" w:cstheme="minorHAnsi"/>
          <w:lang w:val="en-US"/>
        </w:rPr>
      </w:pPr>
    </w:p>
    <w:p w:rsidR="00134573" w:rsidRPr="00422165" w:rsidRDefault="002F60CB" w:rsidP="00BB18C0">
      <w:pPr>
        <w:pStyle w:val="NormalWeb"/>
        <w:spacing w:before="120" w:beforeAutospacing="0" w:after="120" w:afterAutospacing="0"/>
        <w:jc w:val="both"/>
        <w:rPr>
          <w:rFonts w:asciiTheme="minorHAnsi" w:hAnsiTheme="minorHAnsi" w:cstheme="minorHAnsi"/>
          <w:b/>
          <w:lang w:val="en-US"/>
        </w:rPr>
      </w:pPr>
      <w:r>
        <w:rPr>
          <w:rFonts w:asciiTheme="minorHAnsi" w:hAnsiTheme="minorHAnsi" w:cstheme="minorHAnsi"/>
          <w:b/>
          <w:lang w:val="en-US"/>
        </w:rPr>
        <w:t>Feed-in Tariff</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For many years, Ukraine has been making efforts to stimulate ﬁnancially the generation of electricity from alternative sources of energy. Such stimulation results in legislative provision for feed-in tariff, i.e., the guaranteed obligation of t</w:t>
      </w:r>
      <w:r w:rsidR="0074769D">
        <w:rPr>
          <w:rFonts w:asciiTheme="minorHAnsi" w:hAnsiTheme="minorHAnsi" w:cstheme="minorHAnsi"/>
          <w:lang w:val="en-US"/>
        </w:rPr>
        <w:t>he state to purchase generated “</w:t>
      </w:r>
      <w:r w:rsidRPr="00422165">
        <w:rPr>
          <w:rFonts w:asciiTheme="minorHAnsi" w:hAnsiTheme="minorHAnsi" w:cstheme="minorHAnsi"/>
          <w:lang w:val="en-US"/>
        </w:rPr>
        <w:t>green</w:t>
      </w:r>
      <w:r w:rsidR="0074769D">
        <w:rPr>
          <w:rFonts w:asciiTheme="minorHAnsi" w:hAnsiTheme="minorHAnsi" w:cstheme="minorHAnsi"/>
          <w:lang w:val="en-US"/>
        </w:rPr>
        <w:t>”</w:t>
      </w:r>
      <w:r w:rsidRPr="00422165">
        <w:rPr>
          <w:rFonts w:asciiTheme="minorHAnsi" w:hAnsiTheme="minorHAnsi" w:cstheme="minorHAnsi"/>
          <w:lang w:val="en-US"/>
        </w:rPr>
        <w:t xml:space="preserve"> energy from producers of alternative energy.</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The feed-in tariff is ﬁxed in euro until 2030 and is paid in the national currency. All generated electricity, except for volumes for personal needs, shall be paid under the feed-in tariff (except for blast furnace and coke gas, and for hydro plants with capacity of up to 10 MW).</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It is the obligation of the wholesale electricity market of Ukraine to purchase “green” energy produced under the feed-in tariff and make full payment for the cost of electricity, regardless of the installed capacity or volume of supply.</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The amount of the feed-in tariff depends on the commission date of the object of electricity generation, including construction phase of the electricity station, which produces electricity from alternative energy sources. </w:t>
      </w:r>
    </w:p>
    <w:p w:rsidR="005C5946" w:rsidRDefault="005C5946" w:rsidP="00BB18C0">
      <w:pPr>
        <w:pStyle w:val="NormalWeb"/>
        <w:spacing w:before="120" w:beforeAutospacing="0" w:after="120" w:afterAutospacing="0"/>
        <w:jc w:val="both"/>
        <w:rPr>
          <w:rFonts w:asciiTheme="minorHAnsi" w:hAnsiTheme="minorHAnsi" w:cstheme="minorHAnsi"/>
          <w:lang w:val="en-US"/>
        </w:rPr>
      </w:pPr>
    </w:p>
    <w:p w:rsidR="005C5946" w:rsidRDefault="005C5946" w:rsidP="00BB18C0">
      <w:pPr>
        <w:pStyle w:val="NormalWeb"/>
        <w:spacing w:before="120" w:beforeAutospacing="0" w:after="120" w:afterAutospacing="0"/>
        <w:jc w:val="both"/>
        <w:rPr>
          <w:rFonts w:asciiTheme="minorHAnsi" w:hAnsiTheme="minorHAnsi" w:cstheme="minorHAnsi"/>
          <w:lang w:val="en-US"/>
        </w:rPr>
      </w:pPr>
    </w:p>
    <w:p w:rsidR="00134573"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The feed-in tariff for different types of renewable sources of energy is shown in the table below (in EUR).</w:t>
      </w:r>
    </w:p>
    <w:p w:rsidR="005C5946" w:rsidRPr="00422165" w:rsidRDefault="005C5946" w:rsidP="00BB18C0">
      <w:pPr>
        <w:pStyle w:val="NormalWeb"/>
        <w:spacing w:before="120" w:beforeAutospacing="0" w:after="120" w:afterAutospacing="0"/>
        <w:jc w:val="both"/>
        <w:rPr>
          <w:rFonts w:asciiTheme="minorHAnsi" w:hAnsiTheme="minorHAnsi" w:cstheme="minorHAnsi"/>
          <w:lang w:val="en-US"/>
        </w:rPr>
      </w:pPr>
    </w:p>
    <w:tbl>
      <w:tblPr>
        <w:tblW w:w="9607" w:type="dxa"/>
        <w:tblInd w:w="-5" w:type="dxa"/>
        <w:tblLook w:val="04A0" w:firstRow="1" w:lastRow="0" w:firstColumn="1" w:lastColumn="0" w:noHBand="0" w:noVBand="1"/>
      </w:tblPr>
      <w:tblGrid>
        <w:gridCol w:w="2410"/>
        <w:gridCol w:w="1134"/>
        <w:gridCol w:w="1226"/>
        <w:gridCol w:w="830"/>
        <w:gridCol w:w="1414"/>
        <w:gridCol w:w="9"/>
        <w:gridCol w:w="1284"/>
        <w:gridCol w:w="1300"/>
      </w:tblGrid>
      <w:tr w:rsidR="00A6303C" w:rsidRPr="00A6303C" w:rsidTr="009A48A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Type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Capacity (kW)</w:t>
            </w:r>
          </w:p>
        </w:tc>
        <w:tc>
          <w:tcPr>
            <w:tcW w:w="6063" w:type="dxa"/>
            <w:gridSpan w:val="6"/>
            <w:tcBorders>
              <w:top w:val="single" w:sz="4" w:space="0" w:color="auto"/>
              <w:left w:val="nil"/>
              <w:bottom w:val="single" w:sz="4" w:space="0" w:color="auto"/>
              <w:right w:val="single" w:sz="4" w:space="0" w:color="000000"/>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Commission date</w:t>
            </w:r>
          </w:p>
        </w:tc>
      </w:tr>
      <w:tr w:rsidR="009A48A4" w:rsidRPr="00A6303C" w:rsidTr="009A48A4">
        <w:trPr>
          <w:trHeight w:val="300"/>
        </w:trPr>
        <w:tc>
          <w:tcPr>
            <w:tcW w:w="241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6303C" w:rsidRPr="00A6303C" w:rsidRDefault="00A6303C" w:rsidP="00A6303C">
            <w:pPr>
              <w:spacing w:after="0" w:line="240" w:lineRule="auto"/>
              <w:rPr>
                <w:rFonts w:ascii="Calibri" w:eastAsia="Times New Roman" w:hAnsi="Calibri" w:cs="Calibri"/>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6303C" w:rsidRPr="00A6303C" w:rsidRDefault="00A6303C" w:rsidP="00A6303C">
            <w:pPr>
              <w:spacing w:after="0" w:line="240" w:lineRule="auto"/>
              <w:rPr>
                <w:rFonts w:ascii="Calibri" w:eastAsia="Times New Roman" w:hAnsi="Calibri" w:cs="Calibri"/>
                <w:b/>
                <w:bCs/>
                <w:color w:val="000000"/>
                <w:lang w:eastAsia="ru-RU"/>
              </w:rPr>
            </w:pPr>
          </w:p>
        </w:tc>
        <w:tc>
          <w:tcPr>
            <w:tcW w:w="1226" w:type="dxa"/>
            <w:tcBorders>
              <w:top w:val="nil"/>
              <w:left w:val="nil"/>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01.07.-31.12.2015</w:t>
            </w:r>
          </w:p>
        </w:tc>
        <w:tc>
          <w:tcPr>
            <w:tcW w:w="830" w:type="dxa"/>
            <w:tcBorders>
              <w:top w:val="nil"/>
              <w:left w:val="nil"/>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2016</w:t>
            </w:r>
          </w:p>
        </w:tc>
        <w:tc>
          <w:tcPr>
            <w:tcW w:w="1414" w:type="dxa"/>
            <w:tcBorders>
              <w:top w:val="nil"/>
              <w:left w:val="nil"/>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2017 - 2019</w:t>
            </w:r>
          </w:p>
        </w:tc>
        <w:tc>
          <w:tcPr>
            <w:tcW w:w="1293" w:type="dxa"/>
            <w:gridSpan w:val="2"/>
            <w:tcBorders>
              <w:top w:val="nil"/>
              <w:left w:val="nil"/>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2020 - 2024</w:t>
            </w:r>
          </w:p>
        </w:tc>
        <w:tc>
          <w:tcPr>
            <w:tcW w:w="1300" w:type="dxa"/>
            <w:tcBorders>
              <w:top w:val="nil"/>
              <w:left w:val="nil"/>
              <w:bottom w:val="single" w:sz="4" w:space="0" w:color="auto"/>
              <w:right w:val="single" w:sz="4" w:space="0" w:color="auto"/>
            </w:tcBorders>
            <w:shd w:val="clear" w:color="auto" w:fill="BDD6EE" w:themeFill="accent1" w:themeFillTint="66"/>
            <w:noWrap/>
            <w:vAlign w:val="center"/>
            <w:hideMark/>
          </w:tcPr>
          <w:p w:rsidR="00A6303C" w:rsidRPr="00A6303C" w:rsidRDefault="00A6303C" w:rsidP="00A6303C">
            <w:pPr>
              <w:spacing w:after="0" w:line="240" w:lineRule="auto"/>
              <w:jc w:val="center"/>
              <w:rPr>
                <w:rFonts w:ascii="Calibri" w:eastAsia="Times New Roman" w:hAnsi="Calibri" w:cs="Calibri"/>
                <w:b/>
                <w:bCs/>
                <w:color w:val="000000"/>
                <w:lang w:eastAsia="ru-RU"/>
              </w:rPr>
            </w:pPr>
            <w:r w:rsidRPr="00A6303C">
              <w:rPr>
                <w:rFonts w:ascii="Calibri" w:eastAsia="Times New Roman" w:hAnsi="Calibri" w:cs="Calibri"/>
                <w:b/>
                <w:bCs/>
                <w:color w:val="000000"/>
                <w:lang w:eastAsia="ru-RU"/>
              </w:rPr>
              <w:t>2025 - 2029</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val="en-US" w:eastAsia="ru-RU"/>
              </w:rPr>
            </w:pPr>
            <w:r w:rsidRPr="00A6303C">
              <w:rPr>
                <w:rFonts w:ascii="Calibri" w:eastAsia="Times New Roman" w:hAnsi="Calibri" w:cs="Calibri"/>
                <w:b/>
                <w:color w:val="000000"/>
                <w:lang w:val="en-US" w:eastAsia="ru-RU"/>
              </w:rPr>
              <w:t xml:space="preserve">Ground-mounted solar power plant </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val="en-US" w:eastAsia="ru-RU"/>
              </w:rPr>
            </w:pPr>
            <w:r w:rsidRPr="00A6303C">
              <w:rPr>
                <w:rFonts w:ascii="Calibri" w:eastAsia="Times New Roman" w:hAnsi="Calibri" w:cs="Calibri"/>
                <w:color w:val="000000"/>
                <w:sz w:val="21"/>
                <w:szCs w:val="21"/>
                <w:lang w:val="en-US"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0.1696</w:t>
            </w:r>
          </w:p>
        </w:tc>
        <w:tc>
          <w:tcPr>
            <w:tcW w:w="83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0.1599</w:t>
            </w:r>
          </w:p>
        </w:tc>
        <w:tc>
          <w:tcPr>
            <w:tcW w:w="141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0.1502</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0.1352</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0.1201</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Rooftop power plant</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0.1804</w:t>
            </w:r>
          </w:p>
        </w:tc>
        <w:tc>
          <w:tcPr>
            <w:tcW w:w="83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0.1723</w:t>
            </w:r>
          </w:p>
        </w:tc>
        <w:tc>
          <w:tcPr>
            <w:tcW w:w="141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0.1637</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0.1475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0.1309</w:t>
            </w:r>
          </w:p>
        </w:tc>
      </w:tr>
      <w:tr w:rsidR="00A6303C" w:rsidRPr="00A6303C" w:rsidTr="009A48A4">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Wind turbine</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&lt;600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0.0582</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0.0517</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0.0452</w:t>
            </w:r>
          </w:p>
        </w:tc>
      </w:tr>
      <w:tr w:rsidR="00A6303C" w:rsidRPr="00A6303C" w:rsidTr="009A48A4">
        <w:trPr>
          <w:trHeight w:val="300"/>
        </w:trPr>
        <w:tc>
          <w:tcPr>
            <w:tcW w:w="2410" w:type="dxa"/>
            <w:vMerge/>
            <w:tcBorders>
              <w:top w:val="nil"/>
              <w:left w:val="single" w:sz="4" w:space="0" w:color="auto"/>
              <w:bottom w:val="single" w:sz="4" w:space="0" w:color="auto"/>
              <w:right w:val="single" w:sz="4" w:space="0" w:color="auto"/>
            </w:tcBorders>
            <w:vAlign w:val="center"/>
            <w:hideMark/>
          </w:tcPr>
          <w:p w:rsidR="00A6303C" w:rsidRPr="00A6303C" w:rsidRDefault="00A6303C" w:rsidP="00A6303C">
            <w:pPr>
              <w:spacing w:after="0" w:line="240" w:lineRule="auto"/>
              <w:rPr>
                <w:rFonts w:ascii="Calibri" w:eastAsia="Times New Roman" w:hAnsi="Calibri" w:cs="Calibri"/>
                <w:b/>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600-2000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0.0679</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0.0603</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0.0528</w:t>
            </w:r>
          </w:p>
        </w:tc>
      </w:tr>
      <w:tr w:rsidR="00A6303C" w:rsidRPr="00A6303C" w:rsidTr="009A48A4">
        <w:trPr>
          <w:trHeight w:val="300"/>
        </w:trPr>
        <w:tc>
          <w:tcPr>
            <w:tcW w:w="2410" w:type="dxa"/>
            <w:vMerge/>
            <w:tcBorders>
              <w:top w:val="nil"/>
              <w:left w:val="single" w:sz="4" w:space="0" w:color="auto"/>
              <w:bottom w:val="single" w:sz="4" w:space="0" w:color="auto"/>
              <w:right w:val="single" w:sz="4" w:space="0" w:color="auto"/>
            </w:tcBorders>
            <w:vAlign w:val="center"/>
            <w:hideMark/>
          </w:tcPr>
          <w:p w:rsidR="00A6303C" w:rsidRPr="00A6303C" w:rsidRDefault="00A6303C" w:rsidP="00A6303C">
            <w:pPr>
              <w:spacing w:after="0" w:line="240" w:lineRule="auto"/>
              <w:rPr>
                <w:rFonts w:ascii="Calibri" w:eastAsia="Times New Roman" w:hAnsi="Calibri" w:cs="Calibri"/>
                <w:b/>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&gt;2000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0.1018</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0.0905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0.0792</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Biomass</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 </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0.1239</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0.1115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0.0991</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Biogas</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 </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0.1239</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0.1115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0.0991</w:t>
            </w:r>
          </w:p>
        </w:tc>
      </w:tr>
      <w:tr w:rsidR="00A6303C" w:rsidRPr="00A6303C" w:rsidTr="009A48A4">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Hydro plant</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&lt;200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0.1745</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0.1572</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0.1395</w:t>
            </w:r>
          </w:p>
        </w:tc>
      </w:tr>
      <w:tr w:rsidR="00A6303C" w:rsidRPr="00A6303C" w:rsidTr="009A48A4">
        <w:trPr>
          <w:trHeight w:val="300"/>
        </w:trPr>
        <w:tc>
          <w:tcPr>
            <w:tcW w:w="2410" w:type="dxa"/>
            <w:vMerge/>
            <w:tcBorders>
              <w:top w:val="nil"/>
              <w:left w:val="single" w:sz="4" w:space="0" w:color="auto"/>
              <w:bottom w:val="single" w:sz="4" w:space="0" w:color="auto"/>
              <w:right w:val="single" w:sz="4" w:space="0" w:color="auto"/>
            </w:tcBorders>
            <w:vAlign w:val="center"/>
            <w:hideMark/>
          </w:tcPr>
          <w:p w:rsidR="00A6303C" w:rsidRPr="00A6303C" w:rsidRDefault="00A6303C" w:rsidP="00A6303C">
            <w:pPr>
              <w:spacing w:after="0" w:line="240" w:lineRule="auto"/>
              <w:rPr>
                <w:rFonts w:ascii="Calibri" w:eastAsia="Times New Roman" w:hAnsi="Calibri" w:cs="Calibri"/>
                <w:b/>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2000-1000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0.1395</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0.1255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0.1115</w:t>
            </w:r>
          </w:p>
        </w:tc>
      </w:tr>
      <w:tr w:rsidR="00A6303C" w:rsidRPr="00A6303C" w:rsidTr="009A48A4">
        <w:trPr>
          <w:trHeight w:val="300"/>
        </w:trPr>
        <w:tc>
          <w:tcPr>
            <w:tcW w:w="2410" w:type="dxa"/>
            <w:vMerge/>
            <w:tcBorders>
              <w:top w:val="nil"/>
              <w:left w:val="single" w:sz="4" w:space="0" w:color="auto"/>
              <w:bottom w:val="single" w:sz="4" w:space="0" w:color="auto"/>
              <w:right w:val="single" w:sz="4" w:space="0" w:color="auto"/>
            </w:tcBorders>
            <w:vAlign w:val="center"/>
            <w:hideMark/>
          </w:tcPr>
          <w:p w:rsidR="00A6303C" w:rsidRPr="00A6303C" w:rsidRDefault="00A6303C" w:rsidP="00A6303C">
            <w:pPr>
              <w:spacing w:after="0" w:line="240" w:lineRule="auto"/>
              <w:rPr>
                <w:rFonts w:ascii="Calibri" w:eastAsia="Times New Roman" w:hAnsi="Calibri" w:cs="Calibri"/>
                <w:b/>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1000-10000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0.1045</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0.0942</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0.0835</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eastAsia="ru-RU"/>
              </w:rPr>
            </w:pPr>
            <w:r w:rsidRPr="00A6303C">
              <w:rPr>
                <w:rFonts w:ascii="Calibri" w:eastAsia="Times New Roman" w:hAnsi="Calibri" w:cs="Calibri"/>
                <w:b/>
                <w:color w:val="000000"/>
                <w:lang w:eastAsia="ru-RU"/>
              </w:rPr>
              <w:t>Geothermal energy</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 </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0.1502</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0.1352</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0.1201</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val="en-US" w:eastAsia="ru-RU"/>
              </w:rPr>
            </w:pPr>
            <w:r w:rsidRPr="00A6303C">
              <w:rPr>
                <w:rFonts w:ascii="Calibri" w:eastAsia="Times New Roman" w:hAnsi="Calibri" w:cs="Calibri"/>
                <w:b/>
                <w:color w:val="000000"/>
                <w:lang w:val="en-US" w:eastAsia="ru-RU"/>
              </w:rPr>
              <w:t>Solar power for private household</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&lt;30</w:t>
            </w:r>
          </w:p>
        </w:tc>
        <w:tc>
          <w:tcPr>
            <w:tcW w:w="1226"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0.2003</w:t>
            </w:r>
          </w:p>
        </w:tc>
        <w:tc>
          <w:tcPr>
            <w:tcW w:w="83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0.1901</w:t>
            </w:r>
          </w:p>
        </w:tc>
        <w:tc>
          <w:tcPr>
            <w:tcW w:w="141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0.1809</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0.1626</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0.1449</w:t>
            </w:r>
          </w:p>
        </w:tc>
      </w:tr>
      <w:tr w:rsidR="00A6303C" w:rsidRPr="00A6303C" w:rsidTr="009A48A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A6303C" w:rsidRPr="00A6303C" w:rsidRDefault="00A6303C" w:rsidP="00A6303C">
            <w:pPr>
              <w:spacing w:after="0" w:line="240" w:lineRule="auto"/>
              <w:jc w:val="center"/>
              <w:rPr>
                <w:rFonts w:ascii="Calibri" w:eastAsia="Times New Roman" w:hAnsi="Calibri" w:cs="Calibri"/>
                <w:b/>
                <w:color w:val="000000"/>
                <w:lang w:val="en-US" w:eastAsia="ru-RU"/>
              </w:rPr>
            </w:pPr>
            <w:r w:rsidRPr="00A6303C">
              <w:rPr>
                <w:rFonts w:ascii="Calibri" w:eastAsia="Times New Roman" w:hAnsi="Calibri" w:cs="Calibri"/>
                <w:b/>
                <w:color w:val="000000"/>
                <w:lang w:val="en-US" w:eastAsia="ru-RU"/>
              </w:rPr>
              <w:t>Wind turbine for private household</w:t>
            </w:r>
          </w:p>
        </w:tc>
        <w:tc>
          <w:tcPr>
            <w:tcW w:w="113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&lt;30</w:t>
            </w:r>
          </w:p>
        </w:tc>
        <w:tc>
          <w:tcPr>
            <w:tcW w:w="3479" w:type="dxa"/>
            <w:gridSpan w:val="4"/>
            <w:tcBorders>
              <w:top w:val="single" w:sz="4" w:space="0" w:color="auto"/>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0.1163</w:t>
            </w:r>
          </w:p>
        </w:tc>
        <w:tc>
          <w:tcPr>
            <w:tcW w:w="1284"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0.1045</w:t>
            </w:r>
          </w:p>
        </w:tc>
        <w:tc>
          <w:tcPr>
            <w:tcW w:w="1300" w:type="dxa"/>
            <w:tcBorders>
              <w:top w:val="nil"/>
              <w:left w:val="nil"/>
              <w:bottom w:val="single" w:sz="4" w:space="0" w:color="auto"/>
              <w:right w:val="single" w:sz="4" w:space="0" w:color="auto"/>
            </w:tcBorders>
            <w:shd w:val="clear" w:color="auto" w:fill="auto"/>
            <w:noWrap/>
            <w:vAlign w:val="bottom"/>
            <w:hideMark/>
          </w:tcPr>
          <w:p w:rsidR="00A6303C" w:rsidRPr="00A6303C" w:rsidRDefault="00A6303C" w:rsidP="00A6303C">
            <w:pPr>
              <w:spacing w:after="0" w:line="240" w:lineRule="auto"/>
              <w:jc w:val="center"/>
              <w:rPr>
                <w:rFonts w:ascii="Calibri" w:eastAsia="Times New Roman" w:hAnsi="Calibri" w:cs="Calibri"/>
                <w:color w:val="000000"/>
                <w:sz w:val="21"/>
                <w:szCs w:val="21"/>
                <w:lang w:eastAsia="ru-RU"/>
              </w:rPr>
            </w:pPr>
            <w:r w:rsidRPr="00A6303C">
              <w:rPr>
                <w:rFonts w:ascii="Calibri" w:eastAsia="Times New Roman" w:hAnsi="Calibri" w:cs="Calibri"/>
                <w:color w:val="000000"/>
                <w:sz w:val="21"/>
                <w:szCs w:val="21"/>
                <w:lang w:eastAsia="ru-RU"/>
              </w:rPr>
              <w:t>0.0932</w:t>
            </w:r>
          </w:p>
        </w:tc>
      </w:tr>
    </w:tbl>
    <w:p w:rsidR="00B60BEA" w:rsidRPr="00C50CE3" w:rsidRDefault="00800C9A" w:rsidP="00BB18C0">
      <w:pPr>
        <w:pStyle w:val="NormalWeb"/>
        <w:spacing w:before="120" w:beforeAutospacing="0" w:after="120" w:afterAutospacing="0"/>
        <w:jc w:val="both"/>
        <w:rPr>
          <w:rFonts w:asciiTheme="minorHAnsi" w:hAnsiTheme="minorHAnsi" w:cstheme="minorHAnsi"/>
          <w:i/>
          <w:sz w:val="20"/>
          <w:szCs w:val="20"/>
          <w:lang w:val="en-US"/>
        </w:rPr>
      </w:pPr>
      <w:r w:rsidRPr="00C50CE3">
        <w:rPr>
          <w:rFonts w:asciiTheme="minorHAnsi" w:hAnsiTheme="minorHAnsi" w:cstheme="minorHAnsi"/>
          <w:i/>
          <w:sz w:val="20"/>
          <w:szCs w:val="20"/>
          <w:lang w:val="en-US"/>
        </w:rPr>
        <w:t>Source: DLF attorneys-at-law, International Energy Agency, Energy and Utilities the National Commission of Ukraine</w:t>
      </w:r>
    </w:p>
    <w:p w:rsidR="00045224" w:rsidRDefault="00045224" w:rsidP="00BB18C0">
      <w:pPr>
        <w:pStyle w:val="NormalWeb"/>
        <w:spacing w:before="120" w:beforeAutospacing="0" w:after="120" w:afterAutospacing="0"/>
        <w:jc w:val="both"/>
        <w:rPr>
          <w:rFonts w:asciiTheme="minorHAnsi" w:hAnsiTheme="minorHAnsi" w:cstheme="minorHAnsi"/>
          <w:lang w:val="en-US"/>
        </w:rPr>
      </w:pP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The use of equipment of Ukrainian origin by investors is stimulated by the relevant </w:t>
      </w:r>
      <w:r w:rsidRPr="002F60CB">
        <w:rPr>
          <w:rFonts w:asciiTheme="minorHAnsi" w:hAnsiTheme="minorHAnsi" w:cstheme="minorHAnsi"/>
          <w:i/>
          <w:lang w:val="en-US"/>
        </w:rPr>
        <w:t xml:space="preserve">premium to the feed-in tariff </w:t>
      </w:r>
      <w:r w:rsidRPr="00422165">
        <w:rPr>
          <w:rFonts w:asciiTheme="minorHAnsi" w:hAnsiTheme="minorHAnsi" w:cstheme="minorHAnsi"/>
          <w:lang w:val="en-US"/>
        </w:rPr>
        <w:t xml:space="preserve">(throughout all term of its validity), if the electricity objects are commissioned by 31 December 2024. </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Therefore, if equipment of Ukrainian origin is used at least at the level of 30%, the premium to the feed-in tariff shall be 5%. If equipment of Ukrainian origin is used at least to the level of 50%, the premium to the feed-in tariff shall be 10%. </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The level of use of equipment of Ukrainian origin at power plants that generate electricity from alternative energy sources is deﬁned as the sum of respective percentages of speciﬁc items of equipment. The Law of Ukraine On Electricity provides an exhaustive list of equipment for each type of alternative energy source that qualiﬁes for the feed-in tariff premium.</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However, it is worth noting that such premium to the feed-in tariff is not applicable to the electricity objects of private households. </w:t>
      </w:r>
    </w:p>
    <w:p w:rsidR="00422165" w:rsidRDefault="00422165" w:rsidP="00BB18C0">
      <w:pPr>
        <w:pStyle w:val="NormalWeb"/>
        <w:spacing w:before="120" w:beforeAutospacing="0" w:after="120" w:afterAutospacing="0"/>
        <w:jc w:val="both"/>
        <w:rPr>
          <w:rFonts w:asciiTheme="minorHAnsi" w:hAnsiTheme="minorHAnsi" w:cstheme="minorHAnsi"/>
          <w:b/>
          <w:lang w:val="en-US"/>
        </w:rPr>
      </w:pPr>
    </w:p>
    <w:p w:rsidR="005C5946" w:rsidRDefault="005C5946" w:rsidP="00BB18C0">
      <w:pPr>
        <w:pStyle w:val="NormalWeb"/>
        <w:spacing w:before="120" w:beforeAutospacing="0" w:after="120" w:afterAutospacing="0"/>
        <w:jc w:val="both"/>
        <w:rPr>
          <w:rFonts w:asciiTheme="minorHAnsi" w:hAnsiTheme="minorHAnsi" w:cstheme="minorHAnsi"/>
          <w:i/>
          <w:lang w:val="en-US"/>
        </w:rPr>
      </w:pPr>
    </w:p>
    <w:p w:rsidR="005C5946" w:rsidRDefault="005C5946" w:rsidP="00BB18C0">
      <w:pPr>
        <w:pStyle w:val="NormalWeb"/>
        <w:spacing w:before="120" w:beforeAutospacing="0" w:after="120" w:afterAutospacing="0"/>
        <w:jc w:val="both"/>
        <w:rPr>
          <w:rFonts w:asciiTheme="minorHAnsi" w:hAnsiTheme="minorHAnsi" w:cstheme="minorHAnsi"/>
          <w:i/>
          <w:lang w:val="en-US"/>
        </w:rPr>
      </w:pPr>
    </w:p>
    <w:p w:rsidR="005C5946" w:rsidRDefault="005C5946" w:rsidP="00BB18C0">
      <w:pPr>
        <w:pStyle w:val="NormalWeb"/>
        <w:spacing w:before="120" w:beforeAutospacing="0" w:after="120" w:afterAutospacing="0"/>
        <w:jc w:val="both"/>
        <w:rPr>
          <w:rFonts w:asciiTheme="minorHAnsi" w:hAnsiTheme="minorHAnsi" w:cstheme="minorHAnsi"/>
          <w:i/>
          <w:lang w:val="en-US"/>
        </w:rPr>
      </w:pPr>
    </w:p>
    <w:p w:rsidR="002F60CB" w:rsidRPr="009A48A4" w:rsidRDefault="002F60CB" w:rsidP="00BB18C0">
      <w:pPr>
        <w:pStyle w:val="NormalWeb"/>
        <w:spacing w:before="120" w:beforeAutospacing="0" w:after="120" w:afterAutospacing="0"/>
        <w:jc w:val="both"/>
        <w:rPr>
          <w:rFonts w:asciiTheme="minorHAnsi" w:hAnsiTheme="minorHAnsi" w:cstheme="minorHAnsi"/>
          <w:i/>
          <w:lang w:val="en-US"/>
        </w:rPr>
      </w:pPr>
      <w:r w:rsidRPr="009A48A4">
        <w:rPr>
          <w:rFonts w:asciiTheme="minorHAnsi" w:hAnsiTheme="minorHAnsi" w:cstheme="minorHAnsi"/>
          <w:i/>
          <w:lang w:val="en-US"/>
        </w:rPr>
        <w:t>Solar panels and private h</w:t>
      </w:r>
      <w:r w:rsidR="00134573" w:rsidRPr="009A48A4">
        <w:rPr>
          <w:rFonts w:asciiTheme="minorHAnsi" w:hAnsiTheme="minorHAnsi" w:cstheme="minorHAnsi"/>
          <w:i/>
          <w:lang w:val="en-US"/>
        </w:rPr>
        <w:t>ouseholds</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According to the State Agency for Energy Efﬁciency and Energy Saving of Ukraine, the rise in the number of solar panels installed by households is </w:t>
      </w:r>
      <w:r w:rsidRPr="002F60CB">
        <w:rPr>
          <w:rFonts w:asciiTheme="minorHAnsi" w:hAnsiTheme="minorHAnsi" w:cstheme="minorHAnsi"/>
          <w:i/>
          <w:lang w:val="en-US"/>
        </w:rPr>
        <w:t>latest trend</w:t>
      </w:r>
      <w:r w:rsidRPr="00422165">
        <w:rPr>
          <w:rFonts w:asciiTheme="minorHAnsi" w:hAnsiTheme="minorHAnsi" w:cstheme="minorHAnsi"/>
          <w:lang w:val="en-US"/>
        </w:rPr>
        <w:t xml:space="preserve"> in the alternative energy sector of Ukraine. This is attributed to the positive legislative changes made in 2015, which allowed private households to not only sustain their electricity needs by means of using renewable energy sources, but to also sell any such excessive energy generated under the feed-in tariff. The trend has been growing continuously for the last two years. </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Thus, pursuant to the Law of Ukraine On Electricity, private households are entitled to set up electricity generating facilities with a capacity of up to 30 kW and sell electricity produced from solar or wind energy under the feed-in tariff to the electricity distribution company in the amount that exceeds monthly consumption of electricity by such private households.</w:t>
      </w:r>
      <w:r w:rsidRPr="00422165">
        <w:rPr>
          <w:rFonts w:asciiTheme="minorHAnsi" w:hAnsiTheme="minorHAnsi" w:cstheme="minorHAnsi"/>
          <w:sz w:val="12"/>
          <w:szCs w:val="12"/>
          <w:lang w:val="en-US"/>
        </w:rPr>
        <w:t xml:space="preserve"> </w:t>
      </w:r>
    </w:p>
    <w:p w:rsidR="00045224" w:rsidRDefault="00045224" w:rsidP="00BB18C0">
      <w:pPr>
        <w:pStyle w:val="NormalWeb"/>
        <w:spacing w:before="120" w:beforeAutospacing="0" w:after="120" w:afterAutospacing="0"/>
        <w:jc w:val="both"/>
        <w:rPr>
          <w:rFonts w:asciiTheme="minorHAnsi" w:hAnsiTheme="minorHAnsi" w:cstheme="minorHAnsi"/>
          <w:b/>
          <w:lang w:val="en-US"/>
        </w:rPr>
      </w:pPr>
    </w:p>
    <w:p w:rsidR="00134573" w:rsidRPr="00422165" w:rsidRDefault="002F60CB" w:rsidP="00BB18C0">
      <w:pPr>
        <w:pStyle w:val="NormalWeb"/>
        <w:spacing w:before="120" w:beforeAutospacing="0" w:after="120" w:afterAutospacing="0"/>
        <w:jc w:val="both"/>
        <w:rPr>
          <w:rFonts w:asciiTheme="minorHAnsi" w:hAnsiTheme="minorHAnsi" w:cstheme="minorHAnsi"/>
          <w:b/>
          <w:lang w:val="en-US"/>
        </w:rPr>
      </w:pPr>
      <w:r>
        <w:rPr>
          <w:rFonts w:asciiTheme="minorHAnsi" w:hAnsiTheme="minorHAnsi" w:cstheme="minorHAnsi"/>
          <w:b/>
          <w:lang w:val="en-US"/>
        </w:rPr>
        <w:t>Tax b</w:t>
      </w:r>
      <w:r w:rsidR="00134573" w:rsidRPr="00422165">
        <w:rPr>
          <w:rFonts w:asciiTheme="minorHAnsi" w:hAnsiTheme="minorHAnsi" w:cstheme="minorHAnsi"/>
          <w:b/>
          <w:lang w:val="en-US"/>
        </w:rPr>
        <w:t>enefits</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For a number of years, the producers of “green” energy in Ukraine have enjoyed quite substantial tax beneﬁts. However, amendments made to the Tax Code of Ukraine in late 2014 cancelled many tax privileges for producers of electricity from alternative energy sources, speciﬁcally in relation to income and land taxation. Currently only those entrepreneurs constructing renewable energy objects in the Chernobyl exclusion zone enjoy tax privileges; the rent for land use in the exclusion zone is paid at 1</w:t>
      </w:r>
      <w:r w:rsidR="00F85472">
        <w:rPr>
          <w:rFonts w:asciiTheme="minorHAnsi" w:hAnsiTheme="minorHAnsi" w:cstheme="minorHAnsi"/>
          <w:lang w:val="en-US"/>
        </w:rPr>
        <w:t>5% (i.e., with an 85% discount).</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Nevertheless, some tax beneﬁts are still available for renewable energy producers. Thus, pursuant to the Tax Code of Ukraine, no VAT is applicable to transactions on import to the territory of Ukraine of:</w:t>
      </w:r>
    </w:p>
    <w:p w:rsidR="00134573" w:rsidRPr="00422165" w:rsidRDefault="00134573" w:rsidP="001F7BC6">
      <w:pPr>
        <w:pStyle w:val="NormalWeb"/>
        <w:numPr>
          <w:ilvl w:val="0"/>
          <w:numId w:val="2"/>
        </w:numPr>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equipment which is functioning on the basis of alternative energy sources, energy saving equipment and materials, means of measuring, control and management of energy resources, equipment and materials for production of alternative types of fuels or electricity from renewable energy sources; </w:t>
      </w:r>
    </w:p>
    <w:p w:rsidR="00134573" w:rsidRPr="00422165" w:rsidRDefault="00134573" w:rsidP="001F7BC6">
      <w:pPr>
        <w:pStyle w:val="NormalWeb"/>
        <w:numPr>
          <w:ilvl w:val="0"/>
          <w:numId w:val="2"/>
        </w:numPr>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materials, equipment, components for manufacturing equipment, which is functioning on the basis of renewable energy sources; raw materials, equipment and components for production of alternative types of fuels or electricity from renewable energy sources; energy saving equipment and materials, products whose operation provides saving and rational use of energy resources; means of measuring, controlling and managing energy resources. </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 xml:space="preserve">In addition, pursuant to the Customs Code of Ukraine, the abovementioned goods are exempt from import and export duties, provided that the taxpayer uses them for its own production and that no identical goods with the same qualities are produced in Ukraine. Nevertheless, this tax benefit, while being settled on paper, cannot be actually implemented in practice due to the failure of the Cabinet of Ministers of Ukraine to approve the list of such goods with specification of codes under the Ukrainian Classification of Foreign Economic Activity Products. </w:t>
      </w: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r w:rsidRPr="00422165">
        <w:rPr>
          <w:rFonts w:asciiTheme="minorHAnsi" w:hAnsiTheme="minorHAnsi" w:cstheme="minorHAnsi"/>
          <w:lang w:val="en-US"/>
        </w:rPr>
        <w:t>Furthermore, the Tax Code of Ukraine provides that any transactions regarding sale of electricity generated by qualiﬁed cogeneration units and/or from renewable energy sources are not subject to excise tax.</w:t>
      </w:r>
    </w:p>
    <w:p w:rsidR="00134573" w:rsidRPr="00BA50DE" w:rsidRDefault="00134573" w:rsidP="00BB18C0">
      <w:pPr>
        <w:pStyle w:val="NormalWeb"/>
        <w:spacing w:before="120" w:beforeAutospacing="0" w:after="120" w:afterAutospacing="0"/>
        <w:jc w:val="both"/>
        <w:rPr>
          <w:rFonts w:asciiTheme="minorHAnsi" w:hAnsiTheme="minorHAnsi" w:cstheme="minorHAnsi"/>
          <w:lang w:val="en-US"/>
        </w:rPr>
      </w:pPr>
    </w:p>
    <w:p w:rsidR="00134573" w:rsidRDefault="00964908" w:rsidP="00BB18C0">
      <w:pPr>
        <w:pStyle w:val="NormalWeb"/>
        <w:spacing w:before="120" w:beforeAutospacing="0" w:after="120" w:afterAutospacing="0"/>
        <w:jc w:val="both"/>
        <w:rPr>
          <w:rFonts w:asciiTheme="minorHAnsi" w:hAnsiTheme="minorHAnsi" w:cstheme="minorHAnsi"/>
          <w:lang w:val="en-US"/>
        </w:rPr>
      </w:pPr>
      <w:r>
        <w:rPr>
          <w:rFonts w:asciiTheme="minorHAnsi" w:hAnsiTheme="minorHAnsi" w:cstheme="minorHAnsi"/>
          <w:lang w:val="en-US"/>
        </w:rPr>
        <w:t>D</w:t>
      </w:r>
      <w:r w:rsidR="008316DB">
        <w:rPr>
          <w:rFonts w:asciiTheme="minorHAnsi" w:hAnsiTheme="minorHAnsi" w:cstheme="minorHAnsi"/>
          <w:lang w:val="en-US"/>
        </w:rPr>
        <w:t>ata sources</w:t>
      </w:r>
      <w:r w:rsidR="00045224">
        <w:rPr>
          <w:rFonts w:asciiTheme="minorHAnsi" w:hAnsiTheme="minorHAnsi" w:cstheme="minorHAnsi"/>
          <w:lang w:val="en-US"/>
        </w:rPr>
        <w:t>:</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sidRPr="00422165">
        <w:rPr>
          <w:rFonts w:asciiTheme="minorHAnsi" w:hAnsiTheme="minorHAnsi" w:cstheme="minorHAnsi"/>
          <w:lang w:val="en-US"/>
        </w:rPr>
        <w:t>Ministry of energy and Coal Industry of Ukraine</w:t>
      </w:r>
      <w:r>
        <w:rPr>
          <w:rFonts w:asciiTheme="minorHAnsi" w:hAnsiTheme="minorHAnsi" w:cstheme="minorHAnsi"/>
          <w:lang w:val="en-US"/>
        </w:rPr>
        <w:t xml:space="preserve"> </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State Agency on Energy Efficiency and Energy Saving of Ukraine</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sidRPr="00726D2E">
        <w:rPr>
          <w:rFonts w:asciiTheme="minorHAnsi" w:hAnsiTheme="minorHAnsi" w:cstheme="minorHAnsi"/>
          <w:lang w:val="en-US"/>
        </w:rPr>
        <w:t>International Energy Agency</w:t>
      </w:r>
    </w:p>
    <w:p w:rsidR="00964908" w:rsidRDefault="00964908"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 xml:space="preserve">Ukrainian Association of Renewable Energy </w:t>
      </w:r>
    </w:p>
    <w:p w:rsidR="00964908" w:rsidRDefault="00964908"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 xml:space="preserve">Ukrainian Wind Energy Association </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DLF attorneys-at-law</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Baker&amp;McKinsey</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Kyiv Post</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IB Centre</w:t>
      </w:r>
    </w:p>
    <w:p w:rsidR="00726D2E" w:rsidRDefault="00726D2E" w:rsidP="00964908">
      <w:pPr>
        <w:pStyle w:val="NormalWeb"/>
        <w:numPr>
          <w:ilvl w:val="0"/>
          <w:numId w:val="3"/>
        </w:numPr>
        <w:spacing w:before="0" w:beforeAutospacing="0" w:after="0" w:afterAutospacing="0"/>
        <w:jc w:val="both"/>
        <w:rPr>
          <w:rFonts w:asciiTheme="minorHAnsi" w:hAnsiTheme="minorHAnsi" w:cstheme="minorHAnsi"/>
          <w:lang w:val="en-US"/>
        </w:rPr>
      </w:pPr>
      <w:r>
        <w:rPr>
          <w:rFonts w:asciiTheme="minorHAnsi" w:hAnsiTheme="minorHAnsi" w:cstheme="minorHAnsi"/>
          <w:lang w:val="en-US"/>
        </w:rPr>
        <w:t>Interfax Ukraine</w:t>
      </w:r>
    </w:p>
    <w:p w:rsidR="00872576" w:rsidRDefault="00872576" w:rsidP="00872576">
      <w:pPr>
        <w:pStyle w:val="NormalWeb"/>
        <w:spacing w:before="0" w:beforeAutospacing="0" w:after="0" w:afterAutospacing="0"/>
        <w:ind w:left="720"/>
        <w:jc w:val="both"/>
        <w:rPr>
          <w:rFonts w:asciiTheme="minorHAnsi" w:hAnsiTheme="minorHAnsi" w:cstheme="minorHAnsi"/>
          <w:lang w:val="en-US"/>
        </w:rPr>
      </w:pPr>
    </w:p>
    <w:p w:rsidR="00872576" w:rsidRPr="00872576" w:rsidRDefault="00872576" w:rsidP="00872576">
      <w:pPr>
        <w:pStyle w:val="NormalWeb"/>
        <w:shd w:val="clear" w:color="auto" w:fill="FFFFFF"/>
        <w:rPr>
          <w:rFonts w:ascii="Calibri" w:hAnsi="Calibri"/>
          <w:color w:val="000000"/>
          <w:lang w:val="fr-BE"/>
        </w:rPr>
      </w:pPr>
      <w:r w:rsidRPr="00872576">
        <w:rPr>
          <w:rFonts w:ascii="Calibri" w:hAnsi="Calibri"/>
          <w:color w:val="000000"/>
          <w:lang w:val="fr-BE"/>
        </w:rPr>
        <w:t>Auteur : Awex – Poste de Kiev</w:t>
      </w:r>
    </w:p>
    <w:p w:rsidR="00872576" w:rsidRPr="00872576" w:rsidRDefault="00872576" w:rsidP="00872576">
      <w:pPr>
        <w:pStyle w:val="NormalWeb"/>
        <w:shd w:val="clear" w:color="auto" w:fill="FFFFFF"/>
        <w:rPr>
          <w:rFonts w:ascii="Calibri" w:hAnsi="Calibri"/>
          <w:color w:val="000000"/>
          <w:lang w:val="fr-BE"/>
        </w:rPr>
      </w:pPr>
      <w:r w:rsidRPr="00872576">
        <w:rPr>
          <w:rFonts w:ascii="Calibri" w:hAnsi="Calibri"/>
          <w:color w:val="000000"/>
          <w:lang w:val="fr-BE"/>
        </w:rPr>
        <w:t>Janvier 2018</w:t>
      </w:r>
    </w:p>
    <w:p w:rsidR="00872576" w:rsidRDefault="000874F2" w:rsidP="00872576">
      <w:pPr>
        <w:pStyle w:val="NormalWeb"/>
        <w:shd w:val="clear" w:color="auto" w:fill="FFFFFF"/>
        <w:rPr>
          <w:rFonts w:ascii="Calibri" w:hAnsi="Calibri"/>
          <w:color w:val="000000"/>
        </w:rPr>
      </w:pPr>
      <w:hyperlink r:id="rId11" w:history="1">
        <w:r w:rsidR="00872576">
          <w:rPr>
            <w:rStyle w:val="Lienhypertexte"/>
            <w:rFonts w:ascii="Calibri" w:hAnsi="Calibri"/>
          </w:rPr>
          <w:t>kiev@awex-wallonia.com</w:t>
        </w:r>
      </w:hyperlink>
    </w:p>
    <w:p w:rsidR="00872576" w:rsidRDefault="00872576" w:rsidP="00872576">
      <w:pPr>
        <w:pStyle w:val="NormalWeb"/>
        <w:spacing w:before="0" w:beforeAutospacing="0" w:after="0" w:afterAutospacing="0"/>
        <w:ind w:left="720"/>
        <w:jc w:val="both"/>
        <w:rPr>
          <w:rFonts w:asciiTheme="minorHAnsi" w:hAnsiTheme="minorHAnsi" w:cstheme="minorHAnsi"/>
          <w:lang w:val="en-US"/>
        </w:rPr>
      </w:pPr>
    </w:p>
    <w:p w:rsidR="00726D2E" w:rsidRDefault="00726D2E" w:rsidP="00964908">
      <w:pPr>
        <w:pStyle w:val="NormalWeb"/>
        <w:spacing w:before="0" w:beforeAutospacing="0" w:after="0" w:afterAutospacing="0"/>
        <w:ind w:left="720"/>
        <w:jc w:val="both"/>
        <w:rPr>
          <w:rFonts w:asciiTheme="minorHAnsi" w:hAnsiTheme="minorHAnsi" w:cstheme="minorHAnsi"/>
          <w:lang w:val="en-US"/>
        </w:rPr>
      </w:pPr>
    </w:p>
    <w:p w:rsidR="00045224" w:rsidRPr="00422165" w:rsidRDefault="00045224" w:rsidP="00BB18C0">
      <w:pPr>
        <w:pStyle w:val="NormalWeb"/>
        <w:spacing w:before="120" w:beforeAutospacing="0" w:after="120" w:afterAutospacing="0"/>
        <w:jc w:val="both"/>
        <w:rPr>
          <w:rFonts w:asciiTheme="minorHAnsi" w:hAnsiTheme="minorHAnsi" w:cstheme="minorHAnsi"/>
          <w:lang w:val="en-US"/>
        </w:rPr>
      </w:pPr>
    </w:p>
    <w:p w:rsidR="00134573" w:rsidRPr="00422165" w:rsidRDefault="00134573" w:rsidP="00BB18C0">
      <w:pPr>
        <w:pStyle w:val="NormalWeb"/>
        <w:spacing w:before="120" w:beforeAutospacing="0" w:after="120" w:afterAutospacing="0"/>
        <w:jc w:val="both"/>
        <w:rPr>
          <w:rFonts w:asciiTheme="minorHAnsi" w:hAnsiTheme="minorHAnsi" w:cstheme="minorHAnsi"/>
          <w:lang w:val="en-US"/>
        </w:rPr>
      </w:pPr>
    </w:p>
    <w:p w:rsidR="00A63911" w:rsidRPr="00422165" w:rsidRDefault="00A63911" w:rsidP="00BB18C0">
      <w:pPr>
        <w:pStyle w:val="NormalWeb"/>
        <w:spacing w:before="120" w:beforeAutospacing="0" w:after="120" w:afterAutospacing="0"/>
        <w:jc w:val="both"/>
        <w:rPr>
          <w:rFonts w:asciiTheme="minorHAnsi" w:hAnsiTheme="minorHAnsi" w:cstheme="minorHAnsi"/>
          <w:lang w:val="en-US"/>
        </w:rPr>
      </w:pPr>
    </w:p>
    <w:p w:rsidR="001A067F" w:rsidRPr="00422165" w:rsidRDefault="001A067F" w:rsidP="00BB18C0">
      <w:pPr>
        <w:spacing w:before="120" w:after="120"/>
        <w:jc w:val="both"/>
        <w:rPr>
          <w:rFonts w:cstheme="minorHAnsi"/>
          <w:lang w:val="en-US"/>
        </w:rPr>
      </w:pPr>
    </w:p>
    <w:sectPr w:rsidR="001A067F" w:rsidRPr="00422165" w:rsidSect="00045224">
      <w:headerReference w:type="default" r:id="rId12"/>
      <w:footerReference w:type="default" r:id="rId1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F2" w:rsidRDefault="000874F2" w:rsidP="001F7BC6">
      <w:pPr>
        <w:spacing w:after="0" w:line="240" w:lineRule="auto"/>
      </w:pPr>
      <w:r>
        <w:separator/>
      </w:r>
    </w:p>
  </w:endnote>
  <w:endnote w:type="continuationSeparator" w:id="0">
    <w:p w:rsidR="000874F2" w:rsidRDefault="000874F2" w:rsidP="001F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Serif-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0138"/>
      <w:docPartObj>
        <w:docPartGallery w:val="Page Numbers (Bottom of Page)"/>
        <w:docPartUnique/>
      </w:docPartObj>
    </w:sdtPr>
    <w:sdtEndPr/>
    <w:sdtContent>
      <w:p w:rsidR="001F7BC6" w:rsidRDefault="00405DB4">
        <w:pPr>
          <w:pStyle w:val="Pieddepage"/>
          <w:jc w:val="right"/>
        </w:pPr>
        <w:r>
          <w:fldChar w:fldCharType="begin"/>
        </w:r>
        <w:r w:rsidR="001F7BC6">
          <w:instrText>PAGE   \* MERGEFORMAT</w:instrText>
        </w:r>
        <w:r>
          <w:fldChar w:fldCharType="separate"/>
        </w:r>
        <w:r w:rsidR="00E46B3A">
          <w:rPr>
            <w:noProof/>
          </w:rPr>
          <w:t>1</w:t>
        </w:r>
        <w:r>
          <w:fldChar w:fldCharType="end"/>
        </w:r>
      </w:p>
    </w:sdtContent>
  </w:sdt>
  <w:p w:rsidR="001F7BC6" w:rsidRDefault="001F7B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F2" w:rsidRDefault="000874F2" w:rsidP="001F7BC6">
      <w:pPr>
        <w:spacing w:after="0" w:line="240" w:lineRule="auto"/>
      </w:pPr>
      <w:r>
        <w:separator/>
      </w:r>
    </w:p>
  </w:footnote>
  <w:footnote w:type="continuationSeparator" w:id="0">
    <w:p w:rsidR="000874F2" w:rsidRDefault="000874F2" w:rsidP="001F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5A" w:rsidRDefault="0077215A">
    <w:pPr>
      <w:pStyle w:val="En-tte"/>
    </w:pPr>
    <w:r>
      <w:rPr>
        <w:noProof/>
        <w:lang w:val="fr-FR" w:eastAsia="fr-FR"/>
      </w:rPr>
      <w:drawing>
        <wp:inline distT="0" distB="0" distL="0" distR="0">
          <wp:extent cx="5940425" cy="6584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sectorielle.PNG"/>
                  <pic:cNvPicPr/>
                </pic:nvPicPr>
                <pic:blipFill>
                  <a:blip r:embed="rId1">
                    <a:extLst>
                      <a:ext uri="{28A0092B-C50C-407E-A947-70E740481C1C}">
                        <a14:useLocalDpi xmlns:a14="http://schemas.microsoft.com/office/drawing/2010/main" val="0"/>
                      </a:ext>
                    </a:extLst>
                  </a:blip>
                  <a:stretch>
                    <a:fillRect/>
                  </a:stretch>
                </pic:blipFill>
                <pic:spPr>
                  <a:xfrm>
                    <a:off x="0" y="0"/>
                    <a:ext cx="5940425" cy="658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0670"/>
    <w:multiLevelType w:val="hybridMultilevel"/>
    <w:tmpl w:val="2A0E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B7057C"/>
    <w:multiLevelType w:val="hybridMultilevel"/>
    <w:tmpl w:val="35E2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0451C8"/>
    <w:multiLevelType w:val="hybridMultilevel"/>
    <w:tmpl w:val="F60258CA"/>
    <w:lvl w:ilvl="0" w:tplc="FF0287E6">
      <w:numFmt w:val="bullet"/>
      <w:lvlText w:val="—"/>
      <w:lvlJc w:val="left"/>
      <w:pPr>
        <w:ind w:left="720" w:hanging="360"/>
      </w:pPr>
      <w:rPr>
        <w:rFonts w:ascii="PTSerif-Regular" w:eastAsia="Times New Roman" w:hAnsi="PTSerif-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C7"/>
    <w:rsid w:val="000016D9"/>
    <w:rsid w:val="000033C5"/>
    <w:rsid w:val="0000342E"/>
    <w:rsid w:val="00003FBE"/>
    <w:rsid w:val="00004428"/>
    <w:rsid w:val="00012B97"/>
    <w:rsid w:val="00021D91"/>
    <w:rsid w:val="000233E2"/>
    <w:rsid w:val="00027B95"/>
    <w:rsid w:val="00027D39"/>
    <w:rsid w:val="00031737"/>
    <w:rsid w:val="00031F4D"/>
    <w:rsid w:val="00033F29"/>
    <w:rsid w:val="000359DA"/>
    <w:rsid w:val="00037D88"/>
    <w:rsid w:val="00042F67"/>
    <w:rsid w:val="000436C0"/>
    <w:rsid w:val="00045224"/>
    <w:rsid w:val="000523CA"/>
    <w:rsid w:val="000536F3"/>
    <w:rsid w:val="00057A05"/>
    <w:rsid w:val="00061E7A"/>
    <w:rsid w:val="00070EB5"/>
    <w:rsid w:val="00081C95"/>
    <w:rsid w:val="000858C3"/>
    <w:rsid w:val="00086899"/>
    <w:rsid w:val="000874F2"/>
    <w:rsid w:val="00090BC5"/>
    <w:rsid w:val="00092331"/>
    <w:rsid w:val="00094587"/>
    <w:rsid w:val="0009689C"/>
    <w:rsid w:val="00096BDA"/>
    <w:rsid w:val="000A6D24"/>
    <w:rsid w:val="000D0A7A"/>
    <w:rsid w:val="000D1731"/>
    <w:rsid w:val="000D1D86"/>
    <w:rsid w:val="000D318E"/>
    <w:rsid w:val="000E0355"/>
    <w:rsid w:val="000E15E4"/>
    <w:rsid w:val="000E33A8"/>
    <w:rsid w:val="000E33D9"/>
    <w:rsid w:val="000E4042"/>
    <w:rsid w:val="000E61EB"/>
    <w:rsid w:val="000F0ABD"/>
    <w:rsid w:val="000F1FE5"/>
    <w:rsid w:val="000F4AD5"/>
    <w:rsid w:val="000F4E80"/>
    <w:rsid w:val="00103C39"/>
    <w:rsid w:val="00105B4D"/>
    <w:rsid w:val="00105E6F"/>
    <w:rsid w:val="00106DAE"/>
    <w:rsid w:val="00116D19"/>
    <w:rsid w:val="00120D5F"/>
    <w:rsid w:val="00120DEC"/>
    <w:rsid w:val="001224CC"/>
    <w:rsid w:val="00123394"/>
    <w:rsid w:val="00124417"/>
    <w:rsid w:val="001257EE"/>
    <w:rsid w:val="00126E40"/>
    <w:rsid w:val="00134573"/>
    <w:rsid w:val="001401BA"/>
    <w:rsid w:val="0014377A"/>
    <w:rsid w:val="001451B3"/>
    <w:rsid w:val="00145B42"/>
    <w:rsid w:val="00147892"/>
    <w:rsid w:val="00150738"/>
    <w:rsid w:val="00151225"/>
    <w:rsid w:val="001559F9"/>
    <w:rsid w:val="00156BB3"/>
    <w:rsid w:val="00177ECC"/>
    <w:rsid w:val="00180E36"/>
    <w:rsid w:val="00183974"/>
    <w:rsid w:val="001850B7"/>
    <w:rsid w:val="00190696"/>
    <w:rsid w:val="00190BD9"/>
    <w:rsid w:val="00190EB6"/>
    <w:rsid w:val="001934A9"/>
    <w:rsid w:val="0019416D"/>
    <w:rsid w:val="001954DB"/>
    <w:rsid w:val="00195E30"/>
    <w:rsid w:val="00197E55"/>
    <w:rsid w:val="001A067F"/>
    <w:rsid w:val="001A4856"/>
    <w:rsid w:val="001A6B3A"/>
    <w:rsid w:val="001B1690"/>
    <w:rsid w:val="001C00E2"/>
    <w:rsid w:val="001C0E94"/>
    <w:rsid w:val="001C1C09"/>
    <w:rsid w:val="001C25E8"/>
    <w:rsid w:val="001C40B4"/>
    <w:rsid w:val="001C4361"/>
    <w:rsid w:val="001D1A4C"/>
    <w:rsid w:val="001D57CF"/>
    <w:rsid w:val="001E1BC2"/>
    <w:rsid w:val="001E24F6"/>
    <w:rsid w:val="001E2E40"/>
    <w:rsid w:val="001E469E"/>
    <w:rsid w:val="001F13AA"/>
    <w:rsid w:val="001F7BC6"/>
    <w:rsid w:val="00211982"/>
    <w:rsid w:val="0021760D"/>
    <w:rsid w:val="00217A12"/>
    <w:rsid w:val="002421E0"/>
    <w:rsid w:val="00242DCF"/>
    <w:rsid w:val="00245CF1"/>
    <w:rsid w:val="00251C35"/>
    <w:rsid w:val="00262ACE"/>
    <w:rsid w:val="00263452"/>
    <w:rsid w:val="002679B3"/>
    <w:rsid w:val="002761D5"/>
    <w:rsid w:val="002762C7"/>
    <w:rsid w:val="00276BD6"/>
    <w:rsid w:val="00286EDA"/>
    <w:rsid w:val="00290926"/>
    <w:rsid w:val="00294CA2"/>
    <w:rsid w:val="00297CC5"/>
    <w:rsid w:val="002A213C"/>
    <w:rsid w:val="002A4948"/>
    <w:rsid w:val="002A558A"/>
    <w:rsid w:val="002A5F0A"/>
    <w:rsid w:val="002C1575"/>
    <w:rsid w:val="002C3999"/>
    <w:rsid w:val="002C39F6"/>
    <w:rsid w:val="002C612E"/>
    <w:rsid w:val="002D0127"/>
    <w:rsid w:val="002D162F"/>
    <w:rsid w:val="002D31F8"/>
    <w:rsid w:val="002D45E1"/>
    <w:rsid w:val="002D654B"/>
    <w:rsid w:val="002E517F"/>
    <w:rsid w:val="002E6F14"/>
    <w:rsid w:val="002F0EAD"/>
    <w:rsid w:val="002F1626"/>
    <w:rsid w:val="002F60CB"/>
    <w:rsid w:val="002F60F3"/>
    <w:rsid w:val="002F721A"/>
    <w:rsid w:val="00300486"/>
    <w:rsid w:val="003064FD"/>
    <w:rsid w:val="003077C0"/>
    <w:rsid w:val="0030787F"/>
    <w:rsid w:val="00317D83"/>
    <w:rsid w:val="003211AB"/>
    <w:rsid w:val="00323864"/>
    <w:rsid w:val="003239B1"/>
    <w:rsid w:val="0032783D"/>
    <w:rsid w:val="0033438B"/>
    <w:rsid w:val="003437E2"/>
    <w:rsid w:val="00345DA5"/>
    <w:rsid w:val="00350304"/>
    <w:rsid w:val="003535AB"/>
    <w:rsid w:val="00356DDB"/>
    <w:rsid w:val="00363A3A"/>
    <w:rsid w:val="00370C48"/>
    <w:rsid w:val="003714D9"/>
    <w:rsid w:val="003717F1"/>
    <w:rsid w:val="003736AE"/>
    <w:rsid w:val="00374170"/>
    <w:rsid w:val="00377AC9"/>
    <w:rsid w:val="00382A18"/>
    <w:rsid w:val="0038457A"/>
    <w:rsid w:val="00386E8B"/>
    <w:rsid w:val="00387328"/>
    <w:rsid w:val="00390C7D"/>
    <w:rsid w:val="0039177E"/>
    <w:rsid w:val="00395004"/>
    <w:rsid w:val="003A2CBD"/>
    <w:rsid w:val="003A4E65"/>
    <w:rsid w:val="003B2F52"/>
    <w:rsid w:val="003B3DA6"/>
    <w:rsid w:val="003B468E"/>
    <w:rsid w:val="003B5056"/>
    <w:rsid w:val="003B5562"/>
    <w:rsid w:val="003C093B"/>
    <w:rsid w:val="003C3AB4"/>
    <w:rsid w:val="003C47D7"/>
    <w:rsid w:val="003C4953"/>
    <w:rsid w:val="003E242F"/>
    <w:rsid w:val="003E5950"/>
    <w:rsid w:val="003E5ECD"/>
    <w:rsid w:val="003E723E"/>
    <w:rsid w:val="003F2868"/>
    <w:rsid w:val="003F46F7"/>
    <w:rsid w:val="003F63F0"/>
    <w:rsid w:val="003F7CC0"/>
    <w:rsid w:val="00400AB8"/>
    <w:rsid w:val="004027B2"/>
    <w:rsid w:val="00403D0F"/>
    <w:rsid w:val="004041D9"/>
    <w:rsid w:val="00405DB4"/>
    <w:rsid w:val="00406CD2"/>
    <w:rsid w:val="00407ABE"/>
    <w:rsid w:val="0041131B"/>
    <w:rsid w:val="0041135D"/>
    <w:rsid w:val="00420208"/>
    <w:rsid w:val="0042152A"/>
    <w:rsid w:val="004218C5"/>
    <w:rsid w:val="00422165"/>
    <w:rsid w:val="004250CB"/>
    <w:rsid w:val="00426DD4"/>
    <w:rsid w:val="004277AD"/>
    <w:rsid w:val="004302C9"/>
    <w:rsid w:val="00431E7B"/>
    <w:rsid w:val="00434C3E"/>
    <w:rsid w:val="00435D30"/>
    <w:rsid w:val="00436545"/>
    <w:rsid w:val="00437F7D"/>
    <w:rsid w:val="00441B3A"/>
    <w:rsid w:val="004454DE"/>
    <w:rsid w:val="004458EC"/>
    <w:rsid w:val="004459C4"/>
    <w:rsid w:val="00447DCE"/>
    <w:rsid w:val="00450F9D"/>
    <w:rsid w:val="00453B21"/>
    <w:rsid w:val="0045592F"/>
    <w:rsid w:val="004610C9"/>
    <w:rsid w:val="004652EF"/>
    <w:rsid w:val="00465678"/>
    <w:rsid w:val="00465874"/>
    <w:rsid w:val="00472649"/>
    <w:rsid w:val="00475D5D"/>
    <w:rsid w:val="004848A7"/>
    <w:rsid w:val="0048781F"/>
    <w:rsid w:val="00492ACA"/>
    <w:rsid w:val="0049306F"/>
    <w:rsid w:val="00497AC7"/>
    <w:rsid w:val="004A09AC"/>
    <w:rsid w:val="004A1E3A"/>
    <w:rsid w:val="004A3DE8"/>
    <w:rsid w:val="004A55D9"/>
    <w:rsid w:val="004B51D4"/>
    <w:rsid w:val="004B5F91"/>
    <w:rsid w:val="004B6E6C"/>
    <w:rsid w:val="004C3FAD"/>
    <w:rsid w:val="004D58D8"/>
    <w:rsid w:val="004D6A9D"/>
    <w:rsid w:val="004E3D39"/>
    <w:rsid w:val="00501F61"/>
    <w:rsid w:val="00507FE0"/>
    <w:rsid w:val="005106FA"/>
    <w:rsid w:val="005117A8"/>
    <w:rsid w:val="00527CDA"/>
    <w:rsid w:val="00530652"/>
    <w:rsid w:val="00536566"/>
    <w:rsid w:val="00543599"/>
    <w:rsid w:val="00547B77"/>
    <w:rsid w:val="00556E73"/>
    <w:rsid w:val="00557578"/>
    <w:rsid w:val="0055761B"/>
    <w:rsid w:val="00565CF4"/>
    <w:rsid w:val="00571699"/>
    <w:rsid w:val="00577CA7"/>
    <w:rsid w:val="00577E10"/>
    <w:rsid w:val="00585077"/>
    <w:rsid w:val="005914A6"/>
    <w:rsid w:val="005947EF"/>
    <w:rsid w:val="005948A8"/>
    <w:rsid w:val="00595789"/>
    <w:rsid w:val="005A2A3C"/>
    <w:rsid w:val="005A7480"/>
    <w:rsid w:val="005A7C89"/>
    <w:rsid w:val="005B0426"/>
    <w:rsid w:val="005B4DDE"/>
    <w:rsid w:val="005C1DF3"/>
    <w:rsid w:val="005C2AC9"/>
    <w:rsid w:val="005C36B2"/>
    <w:rsid w:val="005C5946"/>
    <w:rsid w:val="005C5D56"/>
    <w:rsid w:val="005D4D10"/>
    <w:rsid w:val="005E1BF5"/>
    <w:rsid w:val="005F73CA"/>
    <w:rsid w:val="0060212C"/>
    <w:rsid w:val="00606109"/>
    <w:rsid w:val="00610AC3"/>
    <w:rsid w:val="006115FC"/>
    <w:rsid w:val="00612BE6"/>
    <w:rsid w:val="00616B6E"/>
    <w:rsid w:val="00625470"/>
    <w:rsid w:val="0062571E"/>
    <w:rsid w:val="006262CC"/>
    <w:rsid w:val="006277B1"/>
    <w:rsid w:val="00631590"/>
    <w:rsid w:val="006317E1"/>
    <w:rsid w:val="00635666"/>
    <w:rsid w:val="00640698"/>
    <w:rsid w:val="006458AD"/>
    <w:rsid w:val="00646020"/>
    <w:rsid w:val="00647AFB"/>
    <w:rsid w:val="006556A0"/>
    <w:rsid w:val="00664322"/>
    <w:rsid w:val="006743AC"/>
    <w:rsid w:val="00676FAE"/>
    <w:rsid w:val="006806BB"/>
    <w:rsid w:val="00680A79"/>
    <w:rsid w:val="00685D95"/>
    <w:rsid w:val="00696794"/>
    <w:rsid w:val="006970A5"/>
    <w:rsid w:val="006A06F3"/>
    <w:rsid w:val="006A122A"/>
    <w:rsid w:val="006A645F"/>
    <w:rsid w:val="006C1AE2"/>
    <w:rsid w:val="006D02D9"/>
    <w:rsid w:val="006D5BB4"/>
    <w:rsid w:val="006F678B"/>
    <w:rsid w:val="00701803"/>
    <w:rsid w:val="00703571"/>
    <w:rsid w:val="00704C34"/>
    <w:rsid w:val="00705D2D"/>
    <w:rsid w:val="00721B4D"/>
    <w:rsid w:val="007228C1"/>
    <w:rsid w:val="00723226"/>
    <w:rsid w:val="00726D2E"/>
    <w:rsid w:val="00737801"/>
    <w:rsid w:val="0074769D"/>
    <w:rsid w:val="00750D06"/>
    <w:rsid w:val="00753207"/>
    <w:rsid w:val="00755A64"/>
    <w:rsid w:val="00760431"/>
    <w:rsid w:val="007621B7"/>
    <w:rsid w:val="00765223"/>
    <w:rsid w:val="0077215A"/>
    <w:rsid w:val="00775C58"/>
    <w:rsid w:val="007769AA"/>
    <w:rsid w:val="00776BE8"/>
    <w:rsid w:val="0078041F"/>
    <w:rsid w:val="00783231"/>
    <w:rsid w:val="00785EBB"/>
    <w:rsid w:val="00786CEC"/>
    <w:rsid w:val="00786ED3"/>
    <w:rsid w:val="00791D0A"/>
    <w:rsid w:val="00795990"/>
    <w:rsid w:val="007964FB"/>
    <w:rsid w:val="007975E8"/>
    <w:rsid w:val="007A2AC2"/>
    <w:rsid w:val="007A771E"/>
    <w:rsid w:val="007B0BE7"/>
    <w:rsid w:val="007B353D"/>
    <w:rsid w:val="007C7936"/>
    <w:rsid w:val="007C7F38"/>
    <w:rsid w:val="007E3012"/>
    <w:rsid w:val="007E48A3"/>
    <w:rsid w:val="007F2D61"/>
    <w:rsid w:val="007F5FCA"/>
    <w:rsid w:val="00800C9A"/>
    <w:rsid w:val="00801E12"/>
    <w:rsid w:val="008038CA"/>
    <w:rsid w:val="00814E88"/>
    <w:rsid w:val="00821E67"/>
    <w:rsid w:val="008223E6"/>
    <w:rsid w:val="00822C11"/>
    <w:rsid w:val="00830999"/>
    <w:rsid w:val="008316DB"/>
    <w:rsid w:val="00832476"/>
    <w:rsid w:val="00833CF2"/>
    <w:rsid w:val="0084137F"/>
    <w:rsid w:val="008456D6"/>
    <w:rsid w:val="00846C8F"/>
    <w:rsid w:val="00852933"/>
    <w:rsid w:val="0085638B"/>
    <w:rsid w:val="00860EEF"/>
    <w:rsid w:val="0086557F"/>
    <w:rsid w:val="0086580D"/>
    <w:rsid w:val="00865F76"/>
    <w:rsid w:val="008663FB"/>
    <w:rsid w:val="008718DA"/>
    <w:rsid w:val="0087194D"/>
    <w:rsid w:val="00872576"/>
    <w:rsid w:val="00873072"/>
    <w:rsid w:val="00880458"/>
    <w:rsid w:val="00892779"/>
    <w:rsid w:val="0089416D"/>
    <w:rsid w:val="008951E4"/>
    <w:rsid w:val="00896A64"/>
    <w:rsid w:val="00897D0B"/>
    <w:rsid w:val="008A310B"/>
    <w:rsid w:val="008A319A"/>
    <w:rsid w:val="008A35C9"/>
    <w:rsid w:val="008A6DF2"/>
    <w:rsid w:val="008A766B"/>
    <w:rsid w:val="008B4246"/>
    <w:rsid w:val="008B48D8"/>
    <w:rsid w:val="008B5EB2"/>
    <w:rsid w:val="008C0415"/>
    <w:rsid w:val="008D07FA"/>
    <w:rsid w:val="008D3821"/>
    <w:rsid w:val="008D513F"/>
    <w:rsid w:val="008D704C"/>
    <w:rsid w:val="008E5378"/>
    <w:rsid w:val="008F2AC6"/>
    <w:rsid w:val="008F608F"/>
    <w:rsid w:val="008F7391"/>
    <w:rsid w:val="008F7672"/>
    <w:rsid w:val="00900585"/>
    <w:rsid w:val="00900D05"/>
    <w:rsid w:val="00906C64"/>
    <w:rsid w:val="00906F4A"/>
    <w:rsid w:val="00907716"/>
    <w:rsid w:val="009104A4"/>
    <w:rsid w:val="009104EF"/>
    <w:rsid w:val="00913149"/>
    <w:rsid w:val="009140B1"/>
    <w:rsid w:val="00914C57"/>
    <w:rsid w:val="00920064"/>
    <w:rsid w:val="009260D6"/>
    <w:rsid w:val="00927007"/>
    <w:rsid w:val="009361AE"/>
    <w:rsid w:val="009465DA"/>
    <w:rsid w:val="00946F09"/>
    <w:rsid w:val="00950B14"/>
    <w:rsid w:val="00952616"/>
    <w:rsid w:val="009551C9"/>
    <w:rsid w:val="00962A7B"/>
    <w:rsid w:val="00964823"/>
    <w:rsid w:val="00964908"/>
    <w:rsid w:val="00966F0A"/>
    <w:rsid w:val="00967ED8"/>
    <w:rsid w:val="00972E1D"/>
    <w:rsid w:val="0097359B"/>
    <w:rsid w:val="00975AA1"/>
    <w:rsid w:val="009858A0"/>
    <w:rsid w:val="0099071F"/>
    <w:rsid w:val="009A1A64"/>
    <w:rsid w:val="009A4631"/>
    <w:rsid w:val="009A48A4"/>
    <w:rsid w:val="009B1A85"/>
    <w:rsid w:val="009B1B89"/>
    <w:rsid w:val="009B353C"/>
    <w:rsid w:val="009B3800"/>
    <w:rsid w:val="009B3DF5"/>
    <w:rsid w:val="009C110A"/>
    <w:rsid w:val="009C1E7D"/>
    <w:rsid w:val="009C43C3"/>
    <w:rsid w:val="009C55F1"/>
    <w:rsid w:val="009C69B2"/>
    <w:rsid w:val="009D579C"/>
    <w:rsid w:val="009E118A"/>
    <w:rsid w:val="009E5098"/>
    <w:rsid w:val="009E770B"/>
    <w:rsid w:val="009F282E"/>
    <w:rsid w:val="009F38FF"/>
    <w:rsid w:val="009F5C34"/>
    <w:rsid w:val="00A07DAF"/>
    <w:rsid w:val="00A10132"/>
    <w:rsid w:val="00A1314E"/>
    <w:rsid w:val="00A13CCA"/>
    <w:rsid w:val="00A156F4"/>
    <w:rsid w:val="00A24FC4"/>
    <w:rsid w:val="00A257A1"/>
    <w:rsid w:val="00A27FC2"/>
    <w:rsid w:val="00A344C1"/>
    <w:rsid w:val="00A42880"/>
    <w:rsid w:val="00A465F1"/>
    <w:rsid w:val="00A55705"/>
    <w:rsid w:val="00A6303C"/>
    <w:rsid w:val="00A63117"/>
    <w:rsid w:val="00A63304"/>
    <w:rsid w:val="00A63911"/>
    <w:rsid w:val="00A66E7B"/>
    <w:rsid w:val="00A67125"/>
    <w:rsid w:val="00A672C8"/>
    <w:rsid w:val="00A67810"/>
    <w:rsid w:val="00A72C52"/>
    <w:rsid w:val="00A735F9"/>
    <w:rsid w:val="00A807D5"/>
    <w:rsid w:val="00A83D5A"/>
    <w:rsid w:val="00A85B79"/>
    <w:rsid w:val="00A86A9C"/>
    <w:rsid w:val="00A874A7"/>
    <w:rsid w:val="00A92C21"/>
    <w:rsid w:val="00A9567B"/>
    <w:rsid w:val="00A972B8"/>
    <w:rsid w:val="00A97AC1"/>
    <w:rsid w:val="00AA138D"/>
    <w:rsid w:val="00AA5336"/>
    <w:rsid w:val="00AA6E44"/>
    <w:rsid w:val="00AC1860"/>
    <w:rsid w:val="00AC50F5"/>
    <w:rsid w:val="00AD229F"/>
    <w:rsid w:val="00AD2717"/>
    <w:rsid w:val="00AD43DB"/>
    <w:rsid w:val="00AE1AE8"/>
    <w:rsid w:val="00AE4A3A"/>
    <w:rsid w:val="00AF05CE"/>
    <w:rsid w:val="00AF098E"/>
    <w:rsid w:val="00AF19BD"/>
    <w:rsid w:val="00AF6177"/>
    <w:rsid w:val="00B000E3"/>
    <w:rsid w:val="00B05BD9"/>
    <w:rsid w:val="00B072C8"/>
    <w:rsid w:val="00B07DBA"/>
    <w:rsid w:val="00B11ADD"/>
    <w:rsid w:val="00B14604"/>
    <w:rsid w:val="00B14B5F"/>
    <w:rsid w:val="00B17086"/>
    <w:rsid w:val="00B258F9"/>
    <w:rsid w:val="00B3087F"/>
    <w:rsid w:val="00B34578"/>
    <w:rsid w:val="00B3514C"/>
    <w:rsid w:val="00B40EB1"/>
    <w:rsid w:val="00B42C9F"/>
    <w:rsid w:val="00B46DB0"/>
    <w:rsid w:val="00B51783"/>
    <w:rsid w:val="00B55DE2"/>
    <w:rsid w:val="00B60BEA"/>
    <w:rsid w:val="00B65161"/>
    <w:rsid w:val="00B703F8"/>
    <w:rsid w:val="00B930AF"/>
    <w:rsid w:val="00B97971"/>
    <w:rsid w:val="00BA07E2"/>
    <w:rsid w:val="00BA2D45"/>
    <w:rsid w:val="00BA3392"/>
    <w:rsid w:val="00BA397A"/>
    <w:rsid w:val="00BA495E"/>
    <w:rsid w:val="00BA50DE"/>
    <w:rsid w:val="00BB09A7"/>
    <w:rsid w:val="00BB18C0"/>
    <w:rsid w:val="00BB388E"/>
    <w:rsid w:val="00BB5FD8"/>
    <w:rsid w:val="00BC09BE"/>
    <w:rsid w:val="00BC2EC7"/>
    <w:rsid w:val="00BC321C"/>
    <w:rsid w:val="00BC35F2"/>
    <w:rsid w:val="00BC3D98"/>
    <w:rsid w:val="00BC501C"/>
    <w:rsid w:val="00BC6326"/>
    <w:rsid w:val="00BD3494"/>
    <w:rsid w:val="00BE26A4"/>
    <w:rsid w:val="00BE441F"/>
    <w:rsid w:val="00BE509E"/>
    <w:rsid w:val="00BE54BC"/>
    <w:rsid w:val="00BF43B6"/>
    <w:rsid w:val="00C0217F"/>
    <w:rsid w:val="00C02BAC"/>
    <w:rsid w:val="00C1034F"/>
    <w:rsid w:val="00C105D2"/>
    <w:rsid w:val="00C1169B"/>
    <w:rsid w:val="00C12AD4"/>
    <w:rsid w:val="00C20768"/>
    <w:rsid w:val="00C213BB"/>
    <w:rsid w:val="00C26E72"/>
    <w:rsid w:val="00C31849"/>
    <w:rsid w:val="00C31D25"/>
    <w:rsid w:val="00C35131"/>
    <w:rsid w:val="00C3788D"/>
    <w:rsid w:val="00C40227"/>
    <w:rsid w:val="00C41B5F"/>
    <w:rsid w:val="00C42B4A"/>
    <w:rsid w:val="00C46D1F"/>
    <w:rsid w:val="00C50CE3"/>
    <w:rsid w:val="00C52561"/>
    <w:rsid w:val="00C571D3"/>
    <w:rsid w:val="00C600D7"/>
    <w:rsid w:val="00C63A0D"/>
    <w:rsid w:val="00C64413"/>
    <w:rsid w:val="00C65002"/>
    <w:rsid w:val="00C67D2E"/>
    <w:rsid w:val="00C70842"/>
    <w:rsid w:val="00C71151"/>
    <w:rsid w:val="00C7298B"/>
    <w:rsid w:val="00C77452"/>
    <w:rsid w:val="00C80BFF"/>
    <w:rsid w:val="00C847F6"/>
    <w:rsid w:val="00C86203"/>
    <w:rsid w:val="00C86879"/>
    <w:rsid w:val="00C9246E"/>
    <w:rsid w:val="00C93F7C"/>
    <w:rsid w:val="00C95E37"/>
    <w:rsid w:val="00CA04F8"/>
    <w:rsid w:val="00CB0D26"/>
    <w:rsid w:val="00CB1E65"/>
    <w:rsid w:val="00CB443F"/>
    <w:rsid w:val="00CB603B"/>
    <w:rsid w:val="00CB6F89"/>
    <w:rsid w:val="00CC28DC"/>
    <w:rsid w:val="00CD1D9E"/>
    <w:rsid w:val="00CD49D4"/>
    <w:rsid w:val="00CD54AF"/>
    <w:rsid w:val="00CD54BE"/>
    <w:rsid w:val="00CD6CD8"/>
    <w:rsid w:val="00CE0646"/>
    <w:rsid w:val="00CE0CF0"/>
    <w:rsid w:val="00CE3FCB"/>
    <w:rsid w:val="00CE431F"/>
    <w:rsid w:val="00CE4D03"/>
    <w:rsid w:val="00CE570A"/>
    <w:rsid w:val="00CF00AF"/>
    <w:rsid w:val="00CF16DF"/>
    <w:rsid w:val="00CF7D4D"/>
    <w:rsid w:val="00CF7F9A"/>
    <w:rsid w:val="00D01C33"/>
    <w:rsid w:val="00D12E15"/>
    <w:rsid w:val="00D1668D"/>
    <w:rsid w:val="00D21600"/>
    <w:rsid w:val="00D224EA"/>
    <w:rsid w:val="00D22C1F"/>
    <w:rsid w:val="00D23CFB"/>
    <w:rsid w:val="00D2739B"/>
    <w:rsid w:val="00D367D3"/>
    <w:rsid w:val="00D37A63"/>
    <w:rsid w:val="00D401FB"/>
    <w:rsid w:val="00D42CBC"/>
    <w:rsid w:val="00D433C8"/>
    <w:rsid w:val="00D52944"/>
    <w:rsid w:val="00D56D4B"/>
    <w:rsid w:val="00D629C4"/>
    <w:rsid w:val="00D62A1F"/>
    <w:rsid w:val="00D64407"/>
    <w:rsid w:val="00D645CA"/>
    <w:rsid w:val="00D65DFC"/>
    <w:rsid w:val="00D67F4E"/>
    <w:rsid w:val="00D71C9C"/>
    <w:rsid w:val="00D83612"/>
    <w:rsid w:val="00D8452A"/>
    <w:rsid w:val="00D86DBC"/>
    <w:rsid w:val="00D9198E"/>
    <w:rsid w:val="00D945A7"/>
    <w:rsid w:val="00D96B11"/>
    <w:rsid w:val="00D97698"/>
    <w:rsid w:val="00DA1329"/>
    <w:rsid w:val="00DA40D3"/>
    <w:rsid w:val="00DA4CED"/>
    <w:rsid w:val="00DA556E"/>
    <w:rsid w:val="00DB2285"/>
    <w:rsid w:val="00DB29C9"/>
    <w:rsid w:val="00DB7818"/>
    <w:rsid w:val="00DB7A51"/>
    <w:rsid w:val="00DC3AF4"/>
    <w:rsid w:val="00DC54A4"/>
    <w:rsid w:val="00DC678E"/>
    <w:rsid w:val="00DD1C8B"/>
    <w:rsid w:val="00DD2C93"/>
    <w:rsid w:val="00DE07A4"/>
    <w:rsid w:val="00DE2669"/>
    <w:rsid w:val="00DE2834"/>
    <w:rsid w:val="00DE42AF"/>
    <w:rsid w:val="00DE4A22"/>
    <w:rsid w:val="00DF2DA8"/>
    <w:rsid w:val="00DF6516"/>
    <w:rsid w:val="00E0328C"/>
    <w:rsid w:val="00E05FB4"/>
    <w:rsid w:val="00E06AAD"/>
    <w:rsid w:val="00E11089"/>
    <w:rsid w:val="00E17A06"/>
    <w:rsid w:val="00E20227"/>
    <w:rsid w:val="00E31EB7"/>
    <w:rsid w:val="00E35788"/>
    <w:rsid w:val="00E40F12"/>
    <w:rsid w:val="00E41C1F"/>
    <w:rsid w:val="00E42E7E"/>
    <w:rsid w:val="00E43BFF"/>
    <w:rsid w:val="00E46B3A"/>
    <w:rsid w:val="00E50EF6"/>
    <w:rsid w:val="00E57DC1"/>
    <w:rsid w:val="00E619BB"/>
    <w:rsid w:val="00E63710"/>
    <w:rsid w:val="00E6701E"/>
    <w:rsid w:val="00E77735"/>
    <w:rsid w:val="00E8668F"/>
    <w:rsid w:val="00E9158B"/>
    <w:rsid w:val="00EA4FF6"/>
    <w:rsid w:val="00EB6949"/>
    <w:rsid w:val="00EB6EDA"/>
    <w:rsid w:val="00EB703B"/>
    <w:rsid w:val="00EC4C5D"/>
    <w:rsid w:val="00EC6B8E"/>
    <w:rsid w:val="00EC6F69"/>
    <w:rsid w:val="00EC7D15"/>
    <w:rsid w:val="00ED07E1"/>
    <w:rsid w:val="00EE1F77"/>
    <w:rsid w:val="00EE1FA8"/>
    <w:rsid w:val="00EE2158"/>
    <w:rsid w:val="00EE4779"/>
    <w:rsid w:val="00EE6261"/>
    <w:rsid w:val="00EE71F0"/>
    <w:rsid w:val="00EF2F63"/>
    <w:rsid w:val="00F01BBA"/>
    <w:rsid w:val="00F218FE"/>
    <w:rsid w:val="00F2798A"/>
    <w:rsid w:val="00F30E9D"/>
    <w:rsid w:val="00F36DB8"/>
    <w:rsid w:val="00F56215"/>
    <w:rsid w:val="00F63E4F"/>
    <w:rsid w:val="00F65C4E"/>
    <w:rsid w:val="00F6610D"/>
    <w:rsid w:val="00F75858"/>
    <w:rsid w:val="00F77CCE"/>
    <w:rsid w:val="00F85472"/>
    <w:rsid w:val="00F924B1"/>
    <w:rsid w:val="00FA0D10"/>
    <w:rsid w:val="00FA2111"/>
    <w:rsid w:val="00FA485F"/>
    <w:rsid w:val="00FA6A8C"/>
    <w:rsid w:val="00FB077A"/>
    <w:rsid w:val="00FC15AF"/>
    <w:rsid w:val="00FC5722"/>
    <w:rsid w:val="00FC7EC9"/>
    <w:rsid w:val="00FD0ACD"/>
    <w:rsid w:val="00FD226B"/>
    <w:rsid w:val="00FE0683"/>
    <w:rsid w:val="00FE11ED"/>
    <w:rsid w:val="00FE40A6"/>
    <w:rsid w:val="00FE6D3E"/>
    <w:rsid w:val="00FE74B1"/>
    <w:rsid w:val="00FF5D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B4"/>
  </w:style>
  <w:style w:type="paragraph" w:styleId="Titre1">
    <w:name w:val="heading 1"/>
    <w:basedOn w:val="Normal"/>
    <w:link w:val="Titre1Car"/>
    <w:uiPriority w:val="9"/>
    <w:qFormat/>
    <w:rsid w:val="00CF1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re4">
    <w:name w:val="heading 4"/>
    <w:basedOn w:val="Normal"/>
    <w:next w:val="Normal"/>
    <w:link w:val="Titre4Car"/>
    <w:uiPriority w:val="9"/>
    <w:semiHidden/>
    <w:unhideWhenUsed/>
    <w:qFormat/>
    <w:rsid w:val="003B2F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3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re1Car">
    <w:name w:val="Titre 1 Car"/>
    <w:basedOn w:val="Policepardfaut"/>
    <w:link w:val="Titre1"/>
    <w:uiPriority w:val="9"/>
    <w:rsid w:val="00CF16DF"/>
    <w:rPr>
      <w:rFonts w:ascii="Times New Roman" w:eastAsia="Times New Roman" w:hAnsi="Times New Roman" w:cs="Times New Roman"/>
      <w:b/>
      <w:bCs/>
      <w:kern w:val="36"/>
      <w:sz w:val="48"/>
      <w:szCs w:val="48"/>
      <w:lang w:eastAsia="ru-RU"/>
    </w:rPr>
  </w:style>
  <w:style w:type="character" w:customStyle="1" w:styleId="Titre4Car">
    <w:name w:val="Titre 4 Car"/>
    <w:basedOn w:val="Policepardfaut"/>
    <w:link w:val="Titre4"/>
    <w:uiPriority w:val="9"/>
    <w:semiHidden/>
    <w:rsid w:val="003B2F52"/>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3B2F52"/>
    <w:rPr>
      <w:color w:val="0000FF"/>
      <w:u w:val="single"/>
    </w:rPr>
  </w:style>
  <w:style w:type="paragraph" w:styleId="En-tte">
    <w:name w:val="header"/>
    <w:basedOn w:val="Normal"/>
    <w:link w:val="En-tteCar"/>
    <w:uiPriority w:val="99"/>
    <w:unhideWhenUsed/>
    <w:rsid w:val="001F7BC6"/>
    <w:pPr>
      <w:tabs>
        <w:tab w:val="center" w:pos="4677"/>
        <w:tab w:val="right" w:pos="9355"/>
      </w:tabs>
      <w:spacing w:after="0" w:line="240" w:lineRule="auto"/>
    </w:pPr>
  </w:style>
  <w:style w:type="character" w:customStyle="1" w:styleId="En-tteCar">
    <w:name w:val="En-tête Car"/>
    <w:basedOn w:val="Policepardfaut"/>
    <w:link w:val="En-tte"/>
    <w:uiPriority w:val="99"/>
    <w:rsid w:val="001F7BC6"/>
  </w:style>
  <w:style w:type="paragraph" w:styleId="Pieddepage">
    <w:name w:val="footer"/>
    <w:basedOn w:val="Normal"/>
    <w:link w:val="PieddepageCar"/>
    <w:uiPriority w:val="99"/>
    <w:unhideWhenUsed/>
    <w:rsid w:val="001F7BC6"/>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1F7BC6"/>
  </w:style>
  <w:style w:type="paragraph" w:styleId="Textedebulles">
    <w:name w:val="Balloon Text"/>
    <w:basedOn w:val="Normal"/>
    <w:link w:val="TextedebullesCar"/>
    <w:uiPriority w:val="99"/>
    <w:semiHidden/>
    <w:unhideWhenUsed/>
    <w:rsid w:val="00EF2F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F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B4"/>
  </w:style>
  <w:style w:type="paragraph" w:styleId="Titre1">
    <w:name w:val="heading 1"/>
    <w:basedOn w:val="Normal"/>
    <w:link w:val="Titre1Car"/>
    <w:uiPriority w:val="9"/>
    <w:qFormat/>
    <w:rsid w:val="00CF16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re4">
    <w:name w:val="heading 4"/>
    <w:basedOn w:val="Normal"/>
    <w:next w:val="Normal"/>
    <w:link w:val="Titre4Car"/>
    <w:uiPriority w:val="9"/>
    <w:semiHidden/>
    <w:unhideWhenUsed/>
    <w:qFormat/>
    <w:rsid w:val="003B2F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63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re1Car">
    <w:name w:val="Titre 1 Car"/>
    <w:basedOn w:val="Policepardfaut"/>
    <w:link w:val="Titre1"/>
    <w:uiPriority w:val="9"/>
    <w:rsid w:val="00CF16DF"/>
    <w:rPr>
      <w:rFonts w:ascii="Times New Roman" w:eastAsia="Times New Roman" w:hAnsi="Times New Roman" w:cs="Times New Roman"/>
      <w:b/>
      <w:bCs/>
      <w:kern w:val="36"/>
      <w:sz w:val="48"/>
      <w:szCs w:val="48"/>
      <w:lang w:eastAsia="ru-RU"/>
    </w:rPr>
  </w:style>
  <w:style w:type="character" w:customStyle="1" w:styleId="Titre4Car">
    <w:name w:val="Titre 4 Car"/>
    <w:basedOn w:val="Policepardfaut"/>
    <w:link w:val="Titre4"/>
    <w:uiPriority w:val="9"/>
    <w:semiHidden/>
    <w:rsid w:val="003B2F52"/>
    <w:rPr>
      <w:rFonts w:asciiTheme="majorHAnsi" w:eastAsiaTheme="majorEastAsia" w:hAnsiTheme="majorHAnsi" w:cstheme="majorBidi"/>
      <w:i/>
      <w:iCs/>
      <w:color w:val="2E74B5" w:themeColor="accent1" w:themeShade="BF"/>
    </w:rPr>
  </w:style>
  <w:style w:type="character" w:styleId="Lienhypertexte">
    <w:name w:val="Hyperlink"/>
    <w:basedOn w:val="Policepardfaut"/>
    <w:uiPriority w:val="99"/>
    <w:unhideWhenUsed/>
    <w:rsid w:val="003B2F52"/>
    <w:rPr>
      <w:color w:val="0000FF"/>
      <w:u w:val="single"/>
    </w:rPr>
  </w:style>
  <w:style w:type="paragraph" w:styleId="En-tte">
    <w:name w:val="header"/>
    <w:basedOn w:val="Normal"/>
    <w:link w:val="En-tteCar"/>
    <w:uiPriority w:val="99"/>
    <w:unhideWhenUsed/>
    <w:rsid w:val="001F7BC6"/>
    <w:pPr>
      <w:tabs>
        <w:tab w:val="center" w:pos="4677"/>
        <w:tab w:val="right" w:pos="9355"/>
      </w:tabs>
      <w:spacing w:after="0" w:line="240" w:lineRule="auto"/>
    </w:pPr>
  </w:style>
  <w:style w:type="character" w:customStyle="1" w:styleId="En-tteCar">
    <w:name w:val="En-tête Car"/>
    <w:basedOn w:val="Policepardfaut"/>
    <w:link w:val="En-tte"/>
    <w:uiPriority w:val="99"/>
    <w:rsid w:val="001F7BC6"/>
  </w:style>
  <w:style w:type="paragraph" w:styleId="Pieddepage">
    <w:name w:val="footer"/>
    <w:basedOn w:val="Normal"/>
    <w:link w:val="PieddepageCar"/>
    <w:uiPriority w:val="99"/>
    <w:unhideWhenUsed/>
    <w:rsid w:val="001F7BC6"/>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1F7BC6"/>
  </w:style>
  <w:style w:type="paragraph" w:styleId="Textedebulles">
    <w:name w:val="Balloon Text"/>
    <w:basedOn w:val="Normal"/>
    <w:link w:val="TextedebullesCar"/>
    <w:uiPriority w:val="99"/>
    <w:semiHidden/>
    <w:unhideWhenUsed/>
    <w:rsid w:val="00EF2F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407">
      <w:bodyDiv w:val="1"/>
      <w:marLeft w:val="0"/>
      <w:marRight w:val="0"/>
      <w:marTop w:val="0"/>
      <w:marBottom w:val="0"/>
      <w:divBdr>
        <w:top w:val="none" w:sz="0" w:space="0" w:color="auto"/>
        <w:left w:val="none" w:sz="0" w:space="0" w:color="auto"/>
        <w:bottom w:val="none" w:sz="0" w:space="0" w:color="auto"/>
        <w:right w:val="none" w:sz="0" w:space="0" w:color="auto"/>
      </w:divBdr>
    </w:div>
    <w:div w:id="278874282">
      <w:bodyDiv w:val="1"/>
      <w:marLeft w:val="0"/>
      <w:marRight w:val="0"/>
      <w:marTop w:val="0"/>
      <w:marBottom w:val="0"/>
      <w:divBdr>
        <w:top w:val="none" w:sz="0" w:space="0" w:color="auto"/>
        <w:left w:val="none" w:sz="0" w:space="0" w:color="auto"/>
        <w:bottom w:val="none" w:sz="0" w:space="0" w:color="auto"/>
        <w:right w:val="none" w:sz="0" w:space="0" w:color="auto"/>
      </w:divBdr>
    </w:div>
    <w:div w:id="308483894">
      <w:bodyDiv w:val="1"/>
      <w:marLeft w:val="0"/>
      <w:marRight w:val="0"/>
      <w:marTop w:val="0"/>
      <w:marBottom w:val="0"/>
      <w:divBdr>
        <w:top w:val="none" w:sz="0" w:space="0" w:color="auto"/>
        <w:left w:val="none" w:sz="0" w:space="0" w:color="auto"/>
        <w:bottom w:val="none" w:sz="0" w:space="0" w:color="auto"/>
        <w:right w:val="none" w:sz="0" w:space="0" w:color="auto"/>
      </w:divBdr>
    </w:div>
    <w:div w:id="426115517">
      <w:bodyDiv w:val="1"/>
      <w:marLeft w:val="0"/>
      <w:marRight w:val="0"/>
      <w:marTop w:val="0"/>
      <w:marBottom w:val="0"/>
      <w:divBdr>
        <w:top w:val="none" w:sz="0" w:space="0" w:color="auto"/>
        <w:left w:val="none" w:sz="0" w:space="0" w:color="auto"/>
        <w:bottom w:val="none" w:sz="0" w:space="0" w:color="auto"/>
        <w:right w:val="none" w:sz="0" w:space="0" w:color="auto"/>
      </w:divBdr>
    </w:div>
    <w:div w:id="439496005">
      <w:bodyDiv w:val="1"/>
      <w:marLeft w:val="0"/>
      <w:marRight w:val="0"/>
      <w:marTop w:val="0"/>
      <w:marBottom w:val="0"/>
      <w:divBdr>
        <w:top w:val="none" w:sz="0" w:space="0" w:color="auto"/>
        <w:left w:val="none" w:sz="0" w:space="0" w:color="auto"/>
        <w:bottom w:val="none" w:sz="0" w:space="0" w:color="auto"/>
        <w:right w:val="none" w:sz="0" w:space="0" w:color="auto"/>
      </w:divBdr>
    </w:div>
    <w:div w:id="515195006">
      <w:bodyDiv w:val="1"/>
      <w:marLeft w:val="0"/>
      <w:marRight w:val="0"/>
      <w:marTop w:val="0"/>
      <w:marBottom w:val="0"/>
      <w:divBdr>
        <w:top w:val="none" w:sz="0" w:space="0" w:color="auto"/>
        <w:left w:val="none" w:sz="0" w:space="0" w:color="auto"/>
        <w:bottom w:val="none" w:sz="0" w:space="0" w:color="auto"/>
        <w:right w:val="none" w:sz="0" w:space="0" w:color="auto"/>
      </w:divBdr>
    </w:div>
    <w:div w:id="598754125">
      <w:bodyDiv w:val="1"/>
      <w:marLeft w:val="0"/>
      <w:marRight w:val="0"/>
      <w:marTop w:val="0"/>
      <w:marBottom w:val="0"/>
      <w:divBdr>
        <w:top w:val="none" w:sz="0" w:space="0" w:color="auto"/>
        <w:left w:val="none" w:sz="0" w:space="0" w:color="auto"/>
        <w:bottom w:val="none" w:sz="0" w:space="0" w:color="auto"/>
        <w:right w:val="none" w:sz="0" w:space="0" w:color="auto"/>
      </w:divBdr>
    </w:div>
    <w:div w:id="746616478">
      <w:bodyDiv w:val="1"/>
      <w:marLeft w:val="0"/>
      <w:marRight w:val="0"/>
      <w:marTop w:val="0"/>
      <w:marBottom w:val="0"/>
      <w:divBdr>
        <w:top w:val="none" w:sz="0" w:space="0" w:color="auto"/>
        <w:left w:val="none" w:sz="0" w:space="0" w:color="auto"/>
        <w:bottom w:val="none" w:sz="0" w:space="0" w:color="auto"/>
        <w:right w:val="none" w:sz="0" w:space="0" w:color="auto"/>
      </w:divBdr>
    </w:div>
    <w:div w:id="834227636">
      <w:bodyDiv w:val="1"/>
      <w:marLeft w:val="0"/>
      <w:marRight w:val="0"/>
      <w:marTop w:val="0"/>
      <w:marBottom w:val="0"/>
      <w:divBdr>
        <w:top w:val="none" w:sz="0" w:space="0" w:color="auto"/>
        <w:left w:val="none" w:sz="0" w:space="0" w:color="auto"/>
        <w:bottom w:val="none" w:sz="0" w:space="0" w:color="auto"/>
        <w:right w:val="none" w:sz="0" w:space="0" w:color="auto"/>
      </w:divBdr>
    </w:div>
    <w:div w:id="946817751">
      <w:bodyDiv w:val="1"/>
      <w:marLeft w:val="0"/>
      <w:marRight w:val="0"/>
      <w:marTop w:val="0"/>
      <w:marBottom w:val="0"/>
      <w:divBdr>
        <w:top w:val="none" w:sz="0" w:space="0" w:color="auto"/>
        <w:left w:val="none" w:sz="0" w:space="0" w:color="auto"/>
        <w:bottom w:val="none" w:sz="0" w:space="0" w:color="auto"/>
        <w:right w:val="none" w:sz="0" w:space="0" w:color="auto"/>
      </w:divBdr>
    </w:div>
    <w:div w:id="1100179965">
      <w:bodyDiv w:val="1"/>
      <w:marLeft w:val="0"/>
      <w:marRight w:val="0"/>
      <w:marTop w:val="0"/>
      <w:marBottom w:val="0"/>
      <w:divBdr>
        <w:top w:val="none" w:sz="0" w:space="0" w:color="auto"/>
        <w:left w:val="none" w:sz="0" w:space="0" w:color="auto"/>
        <w:bottom w:val="none" w:sz="0" w:space="0" w:color="auto"/>
        <w:right w:val="none" w:sz="0" w:space="0" w:color="auto"/>
      </w:divBdr>
    </w:div>
    <w:div w:id="1118374774">
      <w:bodyDiv w:val="1"/>
      <w:marLeft w:val="0"/>
      <w:marRight w:val="0"/>
      <w:marTop w:val="0"/>
      <w:marBottom w:val="0"/>
      <w:divBdr>
        <w:top w:val="none" w:sz="0" w:space="0" w:color="auto"/>
        <w:left w:val="none" w:sz="0" w:space="0" w:color="auto"/>
        <w:bottom w:val="none" w:sz="0" w:space="0" w:color="auto"/>
        <w:right w:val="none" w:sz="0" w:space="0" w:color="auto"/>
      </w:divBdr>
    </w:div>
    <w:div w:id="1140609515">
      <w:bodyDiv w:val="1"/>
      <w:marLeft w:val="0"/>
      <w:marRight w:val="0"/>
      <w:marTop w:val="0"/>
      <w:marBottom w:val="0"/>
      <w:divBdr>
        <w:top w:val="none" w:sz="0" w:space="0" w:color="auto"/>
        <w:left w:val="none" w:sz="0" w:space="0" w:color="auto"/>
        <w:bottom w:val="none" w:sz="0" w:space="0" w:color="auto"/>
        <w:right w:val="none" w:sz="0" w:space="0" w:color="auto"/>
      </w:divBdr>
    </w:div>
    <w:div w:id="1301886796">
      <w:bodyDiv w:val="1"/>
      <w:marLeft w:val="0"/>
      <w:marRight w:val="0"/>
      <w:marTop w:val="0"/>
      <w:marBottom w:val="0"/>
      <w:divBdr>
        <w:top w:val="none" w:sz="0" w:space="0" w:color="auto"/>
        <w:left w:val="none" w:sz="0" w:space="0" w:color="auto"/>
        <w:bottom w:val="none" w:sz="0" w:space="0" w:color="auto"/>
        <w:right w:val="none" w:sz="0" w:space="0" w:color="auto"/>
      </w:divBdr>
    </w:div>
    <w:div w:id="1320646074">
      <w:bodyDiv w:val="1"/>
      <w:marLeft w:val="0"/>
      <w:marRight w:val="0"/>
      <w:marTop w:val="0"/>
      <w:marBottom w:val="0"/>
      <w:divBdr>
        <w:top w:val="none" w:sz="0" w:space="0" w:color="auto"/>
        <w:left w:val="none" w:sz="0" w:space="0" w:color="auto"/>
        <w:bottom w:val="none" w:sz="0" w:space="0" w:color="auto"/>
        <w:right w:val="none" w:sz="0" w:space="0" w:color="auto"/>
      </w:divBdr>
    </w:div>
    <w:div w:id="1328829663">
      <w:bodyDiv w:val="1"/>
      <w:marLeft w:val="0"/>
      <w:marRight w:val="0"/>
      <w:marTop w:val="0"/>
      <w:marBottom w:val="0"/>
      <w:divBdr>
        <w:top w:val="none" w:sz="0" w:space="0" w:color="auto"/>
        <w:left w:val="none" w:sz="0" w:space="0" w:color="auto"/>
        <w:bottom w:val="none" w:sz="0" w:space="0" w:color="auto"/>
        <w:right w:val="none" w:sz="0" w:space="0" w:color="auto"/>
      </w:divBdr>
    </w:div>
    <w:div w:id="151213654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937902069">
      <w:bodyDiv w:val="1"/>
      <w:marLeft w:val="0"/>
      <w:marRight w:val="0"/>
      <w:marTop w:val="0"/>
      <w:marBottom w:val="0"/>
      <w:divBdr>
        <w:top w:val="none" w:sz="0" w:space="0" w:color="auto"/>
        <w:left w:val="none" w:sz="0" w:space="0" w:color="auto"/>
        <w:bottom w:val="none" w:sz="0" w:space="0" w:color="auto"/>
        <w:right w:val="none" w:sz="0" w:space="0" w:color="auto"/>
      </w:divBdr>
    </w:div>
    <w:div w:id="1981768192">
      <w:bodyDiv w:val="1"/>
      <w:marLeft w:val="0"/>
      <w:marRight w:val="0"/>
      <w:marTop w:val="0"/>
      <w:marBottom w:val="0"/>
      <w:divBdr>
        <w:top w:val="none" w:sz="0" w:space="0" w:color="auto"/>
        <w:left w:val="none" w:sz="0" w:space="0" w:color="auto"/>
        <w:bottom w:val="none" w:sz="0" w:space="0" w:color="auto"/>
        <w:right w:val="none" w:sz="0" w:space="0" w:color="auto"/>
      </w:divBdr>
    </w:div>
    <w:div w:id="2002274311">
      <w:bodyDiv w:val="1"/>
      <w:marLeft w:val="0"/>
      <w:marRight w:val="0"/>
      <w:marTop w:val="0"/>
      <w:marBottom w:val="0"/>
      <w:divBdr>
        <w:top w:val="none" w:sz="0" w:space="0" w:color="auto"/>
        <w:left w:val="none" w:sz="0" w:space="0" w:color="auto"/>
        <w:bottom w:val="none" w:sz="0" w:space="0" w:color="auto"/>
        <w:right w:val="none" w:sz="0" w:space="0" w:color="auto"/>
      </w:divBdr>
    </w:div>
    <w:div w:id="206972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ev@awex-wallon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wex\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wex\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 National plan to increase</a:t>
            </a:r>
            <a:r>
              <a:rPr lang="en-US" sz="1200" b="1" baseline="0">
                <a:solidFill>
                  <a:sysClr val="windowText" lastClr="000000"/>
                </a:solidFill>
              </a:rPr>
              <a:t> share of electricity generated by renewables</a:t>
            </a:r>
            <a:endParaRPr lang="ru-RU" sz="1200" b="1">
              <a:solidFill>
                <a:sysClr val="windowText" lastClr="000000"/>
              </a:solidFill>
            </a:endParaRPr>
          </a:p>
        </c:rich>
      </c:tx>
      <c:overlay val="0"/>
      <c:spPr>
        <a:noFill/>
        <a:ln>
          <a:noFill/>
        </a:ln>
        <a:effectLst/>
      </c:spPr>
    </c:title>
    <c:autoTitleDeleted val="0"/>
    <c:plotArea>
      <c:layout/>
      <c:scatterChart>
        <c:scatterStyle val="lineMarker"/>
        <c:varyColors val="0"/>
        <c:ser>
          <c:idx val="0"/>
          <c:order val="0"/>
          <c:tx>
            <c:strRef>
              <c:f>Лист6!$B$2</c:f>
              <c:strCache>
                <c:ptCount val="1"/>
                <c:pt idx="0">
                  <c:v>Actual percentage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Лист6!$A$3:$A$8</c:f>
              <c:numCache>
                <c:formatCode>General</c:formatCode>
                <c:ptCount val="6"/>
                <c:pt idx="0">
                  <c:v>2015</c:v>
                </c:pt>
                <c:pt idx="1">
                  <c:v>2016</c:v>
                </c:pt>
                <c:pt idx="2">
                  <c:v>2017</c:v>
                </c:pt>
                <c:pt idx="3">
                  <c:v>2018</c:v>
                </c:pt>
                <c:pt idx="4">
                  <c:v>2019</c:v>
                </c:pt>
                <c:pt idx="5">
                  <c:v>2020</c:v>
                </c:pt>
              </c:numCache>
            </c:numRef>
          </c:xVal>
          <c:yVal>
            <c:numRef>
              <c:f>Лист6!$B$3:$B$8</c:f>
              <c:numCache>
                <c:formatCode>0%</c:formatCode>
                <c:ptCount val="6"/>
                <c:pt idx="0">
                  <c:v>1.0000000000000004E-2</c:v>
                </c:pt>
                <c:pt idx="1">
                  <c:v>1.0000000000000004E-2</c:v>
                </c:pt>
              </c:numCache>
            </c:numRef>
          </c:yVal>
          <c:smooth val="0"/>
          <c:extLst xmlns:c16r2="http://schemas.microsoft.com/office/drawing/2015/06/chart">
            <c:ext xmlns:c16="http://schemas.microsoft.com/office/drawing/2014/chart" uri="{C3380CC4-5D6E-409C-BE32-E72D297353CC}">
              <c16:uniqueId val="{00000000-A4A6-4263-BDFD-F3BCDA980F71}"/>
            </c:ext>
          </c:extLst>
        </c:ser>
        <c:ser>
          <c:idx val="1"/>
          <c:order val="1"/>
          <c:tx>
            <c:strRef>
              <c:f>Лист6!$C$2</c:f>
              <c:strCache>
                <c:ptCount val="1"/>
                <c:pt idx="0">
                  <c:v>Planned percentage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Лист6!$A$3:$A$8</c:f>
              <c:numCache>
                <c:formatCode>General</c:formatCode>
                <c:ptCount val="6"/>
                <c:pt idx="0">
                  <c:v>2015</c:v>
                </c:pt>
                <c:pt idx="1">
                  <c:v>2016</c:v>
                </c:pt>
                <c:pt idx="2">
                  <c:v>2017</c:v>
                </c:pt>
                <c:pt idx="3">
                  <c:v>2018</c:v>
                </c:pt>
                <c:pt idx="4">
                  <c:v>2019</c:v>
                </c:pt>
                <c:pt idx="5">
                  <c:v>2020</c:v>
                </c:pt>
              </c:numCache>
            </c:numRef>
          </c:xVal>
          <c:yVal>
            <c:numRef>
              <c:f>Лист6!$C$3:$C$8</c:f>
              <c:numCache>
                <c:formatCode>0.0%</c:formatCode>
                <c:ptCount val="6"/>
                <c:pt idx="0">
                  <c:v>8.3000000000000032E-2</c:v>
                </c:pt>
                <c:pt idx="1">
                  <c:v>8.8000000000000037E-2</c:v>
                </c:pt>
                <c:pt idx="2">
                  <c:v>9.7000000000000003E-2</c:v>
                </c:pt>
                <c:pt idx="3">
                  <c:v>0.10400000000000002</c:v>
                </c:pt>
                <c:pt idx="4">
                  <c:v>0.10900000000000003</c:v>
                </c:pt>
                <c:pt idx="5">
                  <c:v>0.11</c:v>
                </c:pt>
              </c:numCache>
            </c:numRef>
          </c:yVal>
          <c:smooth val="0"/>
          <c:extLst xmlns:c16r2="http://schemas.microsoft.com/office/drawing/2015/06/chart">
            <c:ext xmlns:c16="http://schemas.microsoft.com/office/drawing/2014/chart" uri="{C3380CC4-5D6E-409C-BE32-E72D297353CC}">
              <c16:uniqueId val="{00000001-A4A6-4263-BDFD-F3BCDA980F71}"/>
            </c:ext>
          </c:extLst>
        </c:ser>
        <c:dLbls>
          <c:showLegendKey val="0"/>
          <c:showVal val="1"/>
          <c:showCatName val="0"/>
          <c:showSerName val="0"/>
          <c:showPercent val="0"/>
          <c:showBubbleSize val="0"/>
        </c:dLbls>
        <c:axId val="137037504"/>
        <c:axId val="137038080"/>
      </c:scatterChart>
      <c:valAx>
        <c:axId val="137037504"/>
        <c:scaling>
          <c:orientation val="minMax"/>
        </c:scaling>
        <c:delete val="0"/>
        <c:axPos val="b"/>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7038080"/>
        <c:crosses val="autoZero"/>
        <c:crossBetween val="midCat"/>
      </c:valAx>
      <c:valAx>
        <c:axId val="13703808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one"/>
        <c:crossAx val="137037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Figure 2. Structure of renewable power generation facilities, mainland Ukraine</a:t>
            </a:r>
            <a:r>
              <a:rPr lang="en-US" sz="1200" b="1" baseline="0">
                <a:solidFill>
                  <a:sysClr val="windowText" lastClr="000000"/>
                </a:solidFill>
              </a:rPr>
              <a:t> 2016, MW</a:t>
            </a:r>
            <a:r>
              <a:rPr lang="en-US" sz="1200" b="1">
                <a:solidFill>
                  <a:sysClr val="windowText" lastClr="000000"/>
                </a:solidFill>
              </a:rPr>
              <a:t>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Лист7!$B$1</c:f>
              <c:strCache>
                <c:ptCount val="1"/>
                <c:pt idx="0">
                  <c:v>Installed capacity, MW</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08F-46E6-9452-C71C25A97474}"/>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08F-46E6-9452-C71C25A97474}"/>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08F-46E6-9452-C71C25A97474}"/>
              </c:ext>
            </c:extLst>
          </c:dPt>
          <c:dPt>
            <c:idx val="3"/>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08F-46E6-9452-C71C25A97474}"/>
              </c:ext>
            </c:extLst>
          </c:dPt>
          <c:dPt>
            <c:idx val="4"/>
            <c:bubble3D val="0"/>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08F-46E6-9452-C71C25A974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Лист7!$A$2:$A$6</c:f>
              <c:strCache>
                <c:ptCount val="5"/>
                <c:pt idx="0">
                  <c:v>Wind power plants</c:v>
                </c:pt>
                <c:pt idx="1">
                  <c:v>Photovoltaic</c:v>
                </c:pt>
                <c:pt idx="2">
                  <c:v>Small hydro power plants</c:v>
                </c:pt>
                <c:pt idx="3">
                  <c:v>Biomass</c:v>
                </c:pt>
                <c:pt idx="4">
                  <c:v>Biogas</c:v>
                </c:pt>
              </c:strCache>
            </c:strRef>
          </c:cat>
          <c:val>
            <c:numRef>
              <c:f>Лист7!$B$2:$B$6</c:f>
              <c:numCache>
                <c:formatCode>General</c:formatCode>
                <c:ptCount val="5"/>
                <c:pt idx="0">
                  <c:v>437.7</c:v>
                </c:pt>
                <c:pt idx="1">
                  <c:v>530.9</c:v>
                </c:pt>
                <c:pt idx="2">
                  <c:v>90</c:v>
                </c:pt>
                <c:pt idx="3">
                  <c:v>38.700000000000003</c:v>
                </c:pt>
                <c:pt idx="4">
                  <c:v>20.399999999999999</c:v>
                </c:pt>
              </c:numCache>
            </c:numRef>
          </c:val>
          <c:extLst xmlns:c16r2="http://schemas.microsoft.com/office/drawing/2015/06/chart">
            <c:ext xmlns:c16="http://schemas.microsoft.com/office/drawing/2014/chart" uri="{C3380CC4-5D6E-409C-BE32-E72D297353CC}">
              <c16:uniqueId val="{0000000A-E08F-46E6-9452-C71C25A97474}"/>
            </c:ext>
          </c:extLst>
        </c:ser>
        <c:dLbls>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10057</Characters>
  <Application>Microsoft Office Word</Application>
  <DocSecurity>0</DocSecurity>
  <Lines>83</Lines>
  <Paragraphs>23</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awex</dc:creator>
  <cp:lastModifiedBy>BARBIER Muriel</cp:lastModifiedBy>
  <cp:revision>2</cp:revision>
  <cp:lastPrinted>2018-01-19T15:00:00Z</cp:lastPrinted>
  <dcterms:created xsi:type="dcterms:W3CDTF">2018-02-12T14:29:00Z</dcterms:created>
  <dcterms:modified xsi:type="dcterms:W3CDTF">2018-02-12T14:29:00Z</dcterms:modified>
</cp:coreProperties>
</file>