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3A" w:rsidRPr="00EA0AF0" w:rsidRDefault="0051273A" w:rsidP="0051273A">
      <w:pPr>
        <w:jc w:val="center"/>
        <w:rPr>
          <w:rFonts w:ascii="Times New Roman" w:hAnsi="Times New Roman"/>
          <w:sz w:val="24"/>
          <w:szCs w:val="24"/>
          <w:lang w:val="en-US"/>
        </w:rPr>
      </w:pPr>
      <w:bookmarkStart w:id="0" w:name="_GoBack"/>
      <w:bookmarkEnd w:id="0"/>
    </w:p>
    <w:p w:rsidR="00557F93" w:rsidRPr="00EA0AF0" w:rsidRDefault="00557F93" w:rsidP="00944621">
      <w:pPr>
        <w:jc w:val="center"/>
        <w:rPr>
          <w:rFonts w:ascii="Times New Roman" w:hAnsi="Times New Roman"/>
          <w:b/>
          <w:sz w:val="32"/>
          <w:szCs w:val="32"/>
          <w:lang w:val="en-US"/>
        </w:rPr>
      </w:pPr>
    </w:p>
    <w:p w:rsidR="00944621" w:rsidRPr="00EA0AF0" w:rsidRDefault="00944621" w:rsidP="00944621">
      <w:pPr>
        <w:jc w:val="center"/>
        <w:rPr>
          <w:rFonts w:ascii="Times New Roman" w:hAnsi="Times New Roman"/>
          <w:b/>
          <w:sz w:val="32"/>
          <w:szCs w:val="32"/>
          <w:lang w:val="en-US"/>
        </w:rPr>
      </w:pPr>
      <w:r w:rsidRPr="00EA0AF0">
        <w:rPr>
          <w:rFonts w:ascii="Times New Roman" w:hAnsi="Times New Roman"/>
          <w:b/>
          <w:sz w:val="32"/>
          <w:szCs w:val="32"/>
          <w:lang w:val="en-US"/>
        </w:rPr>
        <w:t xml:space="preserve">AWEX </w:t>
      </w:r>
      <w:r w:rsidR="00221DA9" w:rsidRPr="00EA0AF0">
        <w:rPr>
          <w:rFonts w:ascii="Times New Roman" w:hAnsi="Times New Roman"/>
          <w:b/>
          <w:sz w:val="32"/>
          <w:szCs w:val="32"/>
          <w:lang w:val="en-US"/>
        </w:rPr>
        <w:t>BUCHAREST</w:t>
      </w:r>
      <w:r w:rsidRPr="00EA0AF0">
        <w:rPr>
          <w:rFonts w:ascii="Times New Roman" w:hAnsi="Times New Roman"/>
          <w:b/>
          <w:sz w:val="32"/>
          <w:szCs w:val="32"/>
          <w:lang w:val="en-US"/>
        </w:rPr>
        <w:t xml:space="preserve"> – THE </w:t>
      </w:r>
      <w:r w:rsidR="00B90AF9" w:rsidRPr="00EA0AF0">
        <w:rPr>
          <w:rFonts w:ascii="Times New Roman" w:hAnsi="Times New Roman"/>
          <w:b/>
          <w:sz w:val="32"/>
          <w:szCs w:val="32"/>
          <w:lang w:val="en-US"/>
        </w:rPr>
        <w:t>CONSTRUCTION</w:t>
      </w:r>
      <w:r w:rsidRPr="00EA0AF0">
        <w:rPr>
          <w:rFonts w:ascii="Times New Roman" w:hAnsi="Times New Roman"/>
          <w:b/>
          <w:sz w:val="32"/>
          <w:szCs w:val="32"/>
          <w:lang w:val="en-US"/>
        </w:rPr>
        <w:t xml:space="preserve"> SECTOR IN </w:t>
      </w:r>
      <w:r w:rsidR="00F26A77" w:rsidRPr="00EA0AF0">
        <w:rPr>
          <w:rFonts w:ascii="Times New Roman" w:hAnsi="Times New Roman"/>
          <w:b/>
          <w:sz w:val="32"/>
          <w:szCs w:val="32"/>
          <w:lang w:val="en-US"/>
        </w:rPr>
        <w:t>ROMANI</w:t>
      </w:r>
      <w:r w:rsidR="00221DA9" w:rsidRPr="00EA0AF0">
        <w:rPr>
          <w:rFonts w:ascii="Times New Roman" w:hAnsi="Times New Roman"/>
          <w:b/>
          <w:sz w:val="32"/>
          <w:szCs w:val="32"/>
          <w:lang w:val="en-US"/>
        </w:rPr>
        <w:t>A</w:t>
      </w:r>
    </w:p>
    <w:p w:rsidR="0051273A" w:rsidRPr="00EA0AF0" w:rsidRDefault="0051273A" w:rsidP="0051273A">
      <w:pPr>
        <w:spacing w:line="240" w:lineRule="auto"/>
        <w:jc w:val="both"/>
        <w:rPr>
          <w:rStyle w:val="Lienhypertexte"/>
          <w:rFonts w:ascii="Times New Roman" w:hAnsi="Times New Roman"/>
          <w:color w:val="auto"/>
          <w:u w:val="none"/>
          <w:lang w:val="en-US"/>
        </w:rPr>
      </w:pPr>
    </w:p>
    <w:p w:rsidR="00EA0AF0" w:rsidRPr="00EA0AF0" w:rsidRDefault="00EA0AF0" w:rsidP="0051273A">
      <w:pPr>
        <w:spacing w:line="240" w:lineRule="auto"/>
        <w:jc w:val="both"/>
        <w:rPr>
          <w:rStyle w:val="Lienhypertexte"/>
          <w:rFonts w:ascii="Times New Roman" w:hAnsi="Times New Roman"/>
          <w:color w:val="auto"/>
          <w:u w:val="none"/>
          <w:lang w:val="en-US"/>
        </w:rPr>
      </w:pPr>
    </w:p>
    <w:p w:rsidR="00B90AF9" w:rsidRPr="00954D9F" w:rsidRDefault="00954D9F" w:rsidP="00954D9F">
      <w:pPr>
        <w:spacing w:after="0" w:line="240" w:lineRule="auto"/>
        <w:jc w:val="both"/>
        <w:rPr>
          <w:rFonts w:ascii="Times New Roman" w:hAnsi="Times New Roman"/>
          <w:sz w:val="24"/>
          <w:szCs w:val="24"/>
          <w:lang w:val="en-US"/>
        </w:rPr>
      </w:pPr>
      <w:r w:rsidRPr="00954D9F">
        <w:rPr>
          <w:rFonts w:ascii="Times New Roman" w:eastAsia="MS Mincho" w:hAnsi="Times New Roman"/>
          <w:b/>
          <w:sz w:val="24"/>
          <w:szCs w:val="24"/>
          <w:lang w:val="en-US" w:eastAsia="fr-FR"/>
        </w:rPr>
        <w:t xml:space="preserve">1. </w:t>
      </w:r>
      <w:r w:rsidR="00B90AF9" w:rsidRPr="00954D9F">
        <w:rPr>
          <w:rFonts w:ascii="Times New Roman" w:eastAsia="MS Mincho" w:hAnsi="Times New Roman"/>
          <w:b/>
          <w:sz w:val="24"/>
          <w:szCs w:val="24"/>
          <w:lang w:val="en-US" w:eastAsia="fr-FR"/>
        </w:rPr>
        <w:t xml:space="preserve">General overview of </w:t>
      </w:r>
      <w:r w:rsidR="00F26A77" w:rsidRPr="00954D9F">
        <w:rPr>
          <w:rFonts w:ascii="Times New Roman" w:eastAsia="MS Mincho" w:hAnsi="Times New Roman"/>
          <w:b/>
          <w:sz w:val="24"/>
          <w:szCs w:val="24"/>
          <w:lang w:val="en-US" w:eastAsia="fr-FR"/>
        </w:rPr>
        <w:t>Romania</w:t>
      </w:r>
      <w:r w:rsidR="00D74CD2" w:rsidRPr="00954D9F">
        <w:rPr>
          <w:rFonts w:ascii="Times New Roman" w:eastAsia="MS Mincho" w:hAnsi="Times New Roman"/>
          <w:b/>
          <w:sz w:val="24"/>
          <w:szCs w:val="24"/>
          <w:lang w:val="en-US" w:eastAsia="fr-FR"/>
        </w:rPr>
        <w:t xml:space="preserve"> </w:t>
      </w:r>
    </w:p>
    <w:p w:rsidR="00D74CD2" w:rsidRPr="00EA0AF0" w:rsidRDefault="00D74CD2" w:rsidP="00D74CD2">
      <w:pPr>
        <w:pStyle w:val="Paragraphedeliste"/>
        <w:spacing w:after="0" w:line="240" w:lineRule="auto"/>
        <w:contextualSpacing w:val="0"/>
        <w:jc w:val="both"/>
        <w:rPr>
          <w:rFonts w:ascii="Times New Roman" w:hAnsi="Times New Roman"/>
          <w:lang w:val="en-US"/>
        </w:rPr>
      </w:pPr>
    </w:p>
    <w:p w:rsidR="00E11E42" w:rsidRPr="00EA0AF0" w:rsidRDefault="00E11E42" w:rsidP="00EA0AF0">
      <w:pPr>
        <w:spacing w:after="0"/>
        <w:jc w:val="both"/>
        <w:rPr>
          <w:rStyle w:val="Lienhypertexte"/>
          <w:rFonts w:ascii="Times New Roman" w:hAnsi="Times New Roman"/>
          <w:color w:val="auto"/>
          <w:u w:val="none"/>
        </w:rPr>
      </w:pPr>
      <w:r w:rsidRPr="00954D9F">
        <w:rPr>
          <w:rStyle w:val="Lienhypertexte"/>
          <w:rFonts w:ascii="Times New Roman" w:hAnsi="Times New Roman"/>
          <w:color w:val="auto"/>
          <w:u w:val="none"/>
          <w:lang w:val="en-US"/>
        </w:rPr>
        <w:t xml:space="preserve">Romania is a sovereign state located in Southeastern Europe. It borders the Black Sea, Bulgaria, Ukraine, Hungary, Serbia and </w:t>
      </w:r>
      <w:r w:rsidRPr="00EA0AF0">
        <w:rPr>
          <w:rStyle w:val="Lienhypertexte"/>
          <w:rFonts w:ascii="Times New Roman" w:hAnsi="Times New Roman"/>
          <w:color w:val="auto"/>
          <w:u w:val="none"/>
        </w:rPr>
        <w:t>Moldova. It has an area of 238,397 square kilometers.  With over 19 million inhabitants, the country is the seventh most populous member state of the European Union. Its capital and largest city, Bucharest, is the sixth-largest city in the EU, with 1,883,425 inhabitants as of 2011.</w:t>
      </w:r>
    </w:p>
    <w:p w:rsidR="00D3293B" w:rsidRPr="00EA0AF0" w:rsidRDefault="00D3293B" w:rsidP="00D3293B">
      <w:pPr>
        <w:autoSpaceDE w:val="0"/>
        <w:autoSpaceDN w:val="0"/>
        <w:adjustRightInd w:val="0"/>
        <w:spacing w:after="0" w:line="240" w:lineRule="auto"/>
        <w:jc w:val="both"/>
        <w:rPr>
          <w:rFonts w:ascii="Times New Roman" w:eastAsia="Times New Roman" w:hAnsi="Times New Roman"/>
          <w:bCs/>
          <w:kern w:val="36"/>
          <w:lang w:val="en-US" w:eastAsia="ro-RO"/>
        </w:rPr>
      </w:pPr>
    </w:p>
    <w:p w:rsidR="00221DA9" w:rsidRPr="00EA0AF0" w:rsidRDefault="00221DA9" w:rsidP="00221DA9">
      <w:pPr>
        <w:rPr>
          <w:rFonts w:ascii="Times New Roman" w:hAnsi="Times New Roman"/>
          <w:color w:val="00B050"/>
          <w:lang w:val="en-US"/>
        </w:rPr>
      </w:pPr>
      <w:r w:rsidRPr="00EA0AF0">
        <w:rPr>
          <w:rFonts w:ascii="Times New Roman" w:hAnsi="Times New Roman"/>
          <w:noProof/>
          <w:color w:val="00B050"/>
          <w:lang w:val="fr-FR" w:eastAsia="fr-FR"/>
        </w:rPr>
        <mc:AlternateContent>
          <mc:Choice Requires="wps">
            <w:drawing>
              <wp:anchor distT="0" distB="0" distL="114300" distR="114300" simplePos="0" relativeHeight="251659264" behindDoc="0" locked="0" layoutInCell="1" allowOverlap="1" wp14:anchorId="70DE8D87" wp14:editId="24E87226">
                <wp:simplePos x="0" y="0"/>
                <wp:positionH relativeFrom="column">
                  <wp:posOffset>441960</wp:posOffset>
                </wp:positionH>
                <wp:positionV relativeFrom="paragraph">
                  <wp:posOffset>83820</wp:posOffset>
                </wp:positionV>
                <wp:extent cx="5248275" cy="2257425"/>
                <wp:effectExtent l="0" t="0" r="28575" b="28575"/>
                <wp:wrapNone/>
                <wp:docPr id="91" name="Zone de texte 91"/>
                <wp:cNvGraphicFramePr/>
                <a:graphic xmlns:a="http://schemas.openxmlformats.org/drawingml/2006/main">
                  <a:graphicData uri="http://schemas.microsoft.com/office/word/2010/wordprocessingShape">
                    <wps:wsp>
                      <wps:cNvSpPr txBox="1"/>
                      <wps:spPr>
                        <a:xfrm>
                          <a:off x="0" y="0"/>
                          <a:ext cx="5248275" cy="2257425"/>
                        </a:xfrm>
                        <a:prstGeom prst="rect">
                          <a:avLst/>
                        </a:prstGeom>
                        <a:solidFill>
                          <a:schemeClr val="tx2">
                            <a:lumMod val="20000"/>
                            <a:lumOff val="80000"/>
                          </a:schemeClr>
                        </a:solidFill>
                        <a:ln w="6350" cmpd="sng">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336B9" w:rsidRPr="00061EAD" w:rsidRDefault="002336B9" w:rsidP="00221DA9">
                            <w:pPr>
                              <w:jc w:val="center"/>
                              <w:rPr>
                                <w:rFonts w:ascii="Times New Roman" w:hAnsi="Times New Roman"/>
                                <w:b/>
                                <w:lang w:val="en-US"/>
                              </w:rPr>
                            </w:pPr>
                            <w:r w:rsidRPr="00061EAD">
                              <w:rPr>
                                <w:rFonts w:ascii="Times New Roman" w:hAnsi="Times New Roman"/>
                                <w:b/>
                                <w:lang w:val="en-US"/>
                              </w:rPr>
                              <w:t>Country Statistics</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w:t>
                            </w:r>
                            <w:r w:rsidRPr="00061EAD">
                              <w:rPr>
                                <w:rFonts w:ascii="Times New Roman" w:hAnsi="Times New Roman"/>
                                <w:lang w:val="en-US"/>
                              </w:rPr>
                              <w:tab/>
                            </w:r>
                            <w:r w:rsidRPr="00061EAD">
                              <w:rPr>
                                <w:rFonts w:ascii="Times New Roman" w:hAnsi="Times New Roman"/>
                                <w:lang w:val="en-US"/>
                              </w:rPr>
                              <w:tab/>
                            </w:r>
                            <w:r w:rsidRPr="00061EAD">
                              <w:rPr>
                                <w:rFonts w:ascii="Times New Roman" w:hAnsi="Times New Roman"/>
                                <w:lang w:val="en-US"/>
                              </w:rPr>
                              <w:tab/>
                              <w:t>$204.943 billion (nominal,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ab/>
                            </w:r>
                            <w:r w:rsidRPr="00061EAD">
                              <w:rPr>
                                <w:rFonts w:ascii="Times New Roman" w:hAnsi="Times New Roman"/>
                                <w:lang w:val="en-US"/>
                              </w:rPr>
                              <w:tab/>
                            </w:r>
                            <w:r w:rsidRPr="00061EAD">
                              <w:rPr>
                                <w:rFonts w:ascii="Times New Roman" w:hAnsi="Times New Roman"/>
                                <w:lang w:val="en-US"/>
                              </w:rPr>
                              <w:tab/>
                              <w:t>$467.436 billion (PPP,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rank</w:t>
                            </w:r>
                            <w:r w:rsidRPr="00061EAD">
                              <w:rPr>
                                <w:rFonts w:ascii="Times New Roman" w:hAnsi="Times New Roman"/>
                                <w:lang w:val="en-US"/>
                              </w:rPr>
                              <w:tab/>
                            </w:r>
                            <w:r w:rsidRPr="00061EAD">
                              <w:rPr>
                                <w:rFonts w:ascii="Times New Roman" w:hAnsi="Times New Roman"/>
                                <w:lang w:val="en-US"/>
                              </w:rPr>
                              <w:tab/>
                              <w:t>41st (PPP,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growth</w:t>
                            </w:r>
                            <w:r w:rsidRPr="00061EAD">
                              <w:rPr>
                                <w:rFonts w:ascii="Times New Roman" w:hAnsi="Times New Roman"/>
                                <w:lang w:val="en-US"/>
                              </w:rPr>
                              <w:tab/>
                            </w:r>
                            <w:r w:rsidRPr="00061EAD">
                              <w:rPr>
                                <w:rFonts w:ascii="Times New Roman" w:hAnsi="Times New Roman"/>
                                <w:lang w:val="en-US"/>
                              </w:rPr>
                              <w:tab/>
                              <w:t>7%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per capita</w:t>
                            </w:r>
                            <w:r w:rsidRPr="00061EAD">
                              <w:rPr>
                                <w:rFonts w:ascii="Times New Roman" w:hAnsi="Times New Roman"/>
                                <w:lang w:val="en-US"/>
                              </w:rPr>
                              <w:tab/>
                            </w:r>
                            <w:r w:rsidRPr="00061EAD">
                              <w:rPr>
                                <w:rFonts w:ascii="Times New Roman" w:hAnsi="Times New Roman"/>
                                <w:lang w:val="en-US"/>
                              </w:rPr>
                              <w:tab/>
                              <w:t xml:space="preserve">$23,709.349 (PPP; 2017) </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by sector</w:t>
                            </w:r>
                            <w:r w:rsidRPr="00061EAD">
                              <w:rPr>
                                <w:rFonts w:ascii="Times New Roman" w:hAnsi="Times New Roman"/>
                                <w:lang w:val="en-US"/>
                              </w:rPr>
                              <w:tab/>
                            </w:r>
                            <w:r w:rsidRPr="00061EAD">
                              <w:rPr>
                                <w:rFonts w:ascii="Times New Roman" w:hAnsi="Times New Roman"/>
                                <w:lang w:val="en-US"/>
                              </w:rPr>
                              <w:tab/>
                              <w:t>agriculture: 4.2%</w:t>
                            </w:r>
                            <w:r w:rsidR="00D3293B">
                              <w:rPr>
                                <w:rFonts w:ascii="Times New Roman" w:hAnsi="Times New Roman"/>
                                <w:lang w:val="en-US"/>
                              </w:rPr>
                              <w:t xml:space="preserve">; industry: 33.2%; services: </w:t>
                            </w:r>
                            <w:r w:rsidRPr="00061EAD">
                              <w:rPr>
                                <w:rFonts w:ascii="Times New Roman" w:hAnsi="Times New Roman"/>
                                <w:lang w:val="en-US"/>
                              </w:rPr>
                              <w:t>64.4 %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Inflation (CPI)</w:t>
                            </w:r>
                            <w:r w:rsidRPr="00061EAD">
                              <w:rPr>
                                <w:rFonts w:ascii="Times New Roman" w:hAnsi="Times New Roman"/>
                                <w:lang w:val="en-US"/>
                              </w:rPr>
                              <w:tab/>
                            </w:r>
                            <w:r w:rsidRPr="00061EAD">
                              <w:rPr>
                                <w:rFonts w:ascii="Times New Roman" w:hAnsi="Times New Roman"/>
                                <w:lang w:val="en-US"/>
                              </w:rPr>
                              <w:tab/>
                              <w:t>3.3%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Unemployment</w:t>
                            </w:r>
                            <w:r w:rsidRPr="00061EAD">
                              <w:rPr>
                                <w:rFonts w:ascii="Times New Roman" w:hAnsi="Times New Roman"/>
                                <w:lang w:val="en-US"/>
                              </w:rPr>
                              <w:tab/>
                            </w:r>
                            <w:r w:rsidRPr="00061EAD">
                              <w:rPr>
                                <w:rFonts w:ascii="Times New Roman" w:hAnsi="Times New Roman"/>
                                <w:lang w:val="en-US"/>
                              </w:rPr>
                              <w:tab/>
                              <w:t>3.5% (June 2018)</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Average gross salary</w:t>
                            </w:r>
                            <w:r w:rsidRPr="00061EAD">
                              <w:rPr>
                                <w:rFonts w:ascii="Times New Roman" w:hAnsi="Times New Roman"/>
                                <w:lang w:val="en-US"/>
                              </w:rPr>
                              <w:tab/>
                              <w:t>4,512 RON / 1147 $, monthly (April 2018)</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Currency</w:t>
                            </w:r>
                            <w:r w:rsidRPr="00061EAD">
                              <w:rPr>
                                <w:rFonts w:ascii="Times New Roman" w:hAnsi="Times New Roman"/>
                                <w:lang w:val="en-US"/>
                              </w:rPr>
                              <w:tab/>
                            </w:r>
                            <w:r w:rsidRPr="00061EAD">
                              <w:rPr>
                                <w:rFonts w:ascii="Times New Roman" w:hAnsi="Times New Roman"/>
                                <w:lang w:val="en-US"/>
                              </w:rPr>
                              <w:tab/>
                              <w:t xml:space="preserve">Romanian </w:t>
                            </w:r>
                            <w:proofErr w:type="spellStart"/>
                            <w:r w:rsidRPr="00061EAD">
                              <w:rPr>
                                <w:rFonts w:ascii="Times New Roman" w:hAnsi="Times New Roman"/>
                                <w:lang w:val="en-US"/>
                              </w:rPr>
                              <w:t>Leu</w:t>
                            </w:r>
                            <w:proofErr w:type="spellEnd"/>
                            <w:r w:rsidRPr="00061EAD">
                              <w:rPr>
                                <w:rFonts w:ascii="Times New Roman" w:hAnsi="Times New Roman"/>
                                <w:lang w:val="en-US"/>
                              </w:rPr>
                              <w:t xml:space="preserve"> – exchange rate RON/EUR: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1" o:spid="_x0000_s1026" type="#_x0000_t202" style="position:absolute;margin-left:34.8pt;margin-top:6.6pt;width:413.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" fillcolor="#c6d9f1 [671]" strokecolor="#548dd4 [1951]" strokeweight=".5pt">
                <v:textbox>
                  <w:txbxContent>
                    <w:p w:rsidR="002336B9" w:rsidRPr="00061EAD" w:rsidRDefault="002336B9" w:rsidP="00221DA9">
                      <w:pPr>
                        <w:jc w:val="center"/>
                        <w:rPr>
                          <w:rFonts w:ascii="Times New Roman" w:hAnsi="Times New Roman"/>
                          <w:b/>
                          <w:lang w:val="en-US"/>
                        </w:rPr>
                      </w:pPr>
                      <w:r w:rsidRPr="00061EAD">
                        <w:rPr>
                          <w:rFonts w:ascii="Times New Roman" w:hAnsi="Times New Roman"/>
                          <w:b/>
                          <w:lang w:val="en-US"/>
                        </w:rPr>
                        <w:t>Country Statistics</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w:t>
                      </w:r>
                      <w:r w:rsidRPr="00061EAD">
                        <w:rPr>
                          <w:rFonts w:ascii="Times New Roman" w:hAnsi="Times New Roman"/>
                          <w:lang w:val="en-US"/>
                        </w:rPr>
                        <w:tab/>
                      </w:r>
                      <w:r w:rsidRPr="00061EAD">
                        <w:rPr>
                          <w:rFonts w:ascii="Times New Roman" w:hAnsi="Times New Roman"/>
                          <w:lang w:val="en-US"/>
                        </w:rPr>
                        <w:tab/>
                      </w:r>
                      <w:r w:rsidRPr="00061EAD">
                        <w:rPr>
                          <w:rFonts w:ascii="Times New Roman" w:hAnsi="Times New Roman"/>
                          <w:lang w:val="en-US"/>
                        </w:rPr>
                        <w:tab/>
                        <w:t>$204.943 billion (nominal,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ab/>
                      </w:r>
                      <w:r w:rsidRPr="00061EAD">
                        <w:rPr>
                          <w:rFonts w:ascii="Times New Roman" w:hAnsi="Times New Roman"/>
                          <w:lang w:val="en-US"/>
                        </w:rPr>
                        <w:tab/>
                      </w:r>
                      <w:r w:rsidRPr="00061EAD">
                        <w:rPr>
                          <w:rFonts w:ascii="Times New Roman" w:hAnsi="Times New Roman"/>
                          <w:lang w:val="en-US"/>
                        </w:rPr>
                        <w:tab/>
                        <w:t>$467.436 billion (PPP,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rank</w:t>
                      </w:r>
                      <w:r w:rsidRPr="00061EAD">
                        <w:rPr>
                          <w:rFonts w:ascii="Times New Roman" w:hAnsi="Times New Roman"/>
                          <w:lang w:val="en-US"/>
                        </w:rPr>
                        <w:tab/>
                      </w:r>
                      <w:r w:rsidRPr="00061EAD">
                        <w:rPr>
                          <w:rFonts w:ascii="Times New Roman" w:hAnsi="Times New Roman"/>
                          <w:lang w:val="en-US"/>
                        </w:rPr>
                        <w:tab/>
                        <w:t>41st (PPP,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growth</w:t>
                      </w:r>
                      <w:r w:rsidRPr="00061EAD">
                        <w:rPr>
                          <w:rFonts w:ascii="Times New Roman" w:hAnsi="Times New Roman"/>
                          <w:lang w:val="en-US"/>
                        </w:rPr>
                        <w:tab/>
                      </w:r>
                      <w:r w:rsidRPr="00061EAD">
                        <w:rPr>
                          <w:rFonts w:ascii="Times New Roman" w:hAnsi="Times New Roman"/>
                          <w:lang w:val="en-US"/>
                        </w:rPr>
                        <w:tab/>
                        <w:t>7%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per capita</w:t>
                      </w:r>
                      <w:r w:rsidRPr="00061EAD">
                        <w:rPr>
                          <w:rFonts w:ascii="Times New Roman" w:hAnsi="Times New Roman"/>
                          <w:lang w:val="en-US"/>
                        </w:rPr>
                        <w:tab/>
                      </w:r>
                      <w:r w:rsidRPr="00061EAD">
                        <w:rPr>
                          <w:rFonts w:ascii="Times New Roman" w:hAnsi="Times New Roman"/>
                          <w:lang w:val="en-US"/>
                        </w:rPr>
                        <w:tab/>
                        <w:t xml:space="preserve">$23,709.349 (PPP; 2017) </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GDP by sector</w:t>
                      </w:r>
                      <w:r w:rsidRPr="00061EAD">
                        <w:rPr>
                          <w:rFonts w:ascii="Times New Roman" w:hAnsi="Times New Roman"/>
                          <w:lang w:val="en-US"/>
                        </w:rPr>
                        <w:tab/>
                      </w:r>
                      <w:r w:rsidRPr="00061EAD">
                        <w:rPr>
                          <w:rFonts w:ascii="Times New Roman" w:hAnsi="Times New Roman"/>
                          <w:lang w:val="en-US"/>
                        </w:rPr>
                        <w:tab/>
                        <w:t>agriculture: 4.2%</w:t>
                      </w:r>
                      <w:r w:rsidR="00D3293B">
                        <w:rPr>
                          <w:rFonts w:ascii="Times New Roman" w:hAnsi="Times New Roman"/>
                          <w:lang w:val="en-US"/>
                        </w:rPr>
                        <w:t xml:space="preserve">; industry: 33.2%; services: </w:t>
                      </w:r>
                      <w:r w:rsidRPr="00061EAD">
                        <w:rPr>
                          <w:rFonts w:ascii="Times New Roman" w:hAnsi="Times New Roman"/>
                          <w:lang w:val="en-US"/>
                        </w:rPr>
                        <w:t>64.4 %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Inflation (CPI)</w:t>
                      </w:r>
                      <w:r w:rsidRPr="00061EAD">
                        <w:rPr>
                          <w:rFonts w:ascii="Times New Roman" w:hAnsi="Times New Roman"/>
                          <w:lang w:val="en-US"/>
                        </w:rPr>
                        <w:tab/>
                      </w:r>
                      <w:r w:rsidRPr="00061EAD">
                        <w:rPr>
                          <w:rFonts w:ascii="Times New Roman" w:hAnsi="Times New Roman"/>
                          <w:lang w:val="en-US"/>
                        </w:rPr>
                        <w:tab/>
                        <w:t>3.3% (2017)</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Unemployment</w:t>
                      </w:r>
                      <w:r w:rsidRPr="00061EAD">
                        <w:rPr>
                          <w:rFonts w:ascii="Times New Roman" w:hAnsi="Times New Roman"/>
                          <w:lang w:val="en-US"/>
                        </w:rPr>
                        <w:tab/>
                      </w:r>
                      <w:r w:rsidRPr="00061EAD">
                        <w:rPr>
                          <w:rFonts w:ascii="Times New Roman" w:hAnsi="Times New Roman"/>
                          <w:lang w:val="en-US"/>
                        </w:rPr>
                        <w:tab/>
                        <w:t>3.5% (June 2018)</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Average gross salary</w:t>
                      </w:r>
                      <w:r w:rsidRPr="00061EAD">
                        <w:rPr>
                          <w:rFonts w:ascii="Times New Roman" w:hAnsi="Times New Roman"/>
                          <w:lang w:val="en-US"/>
                        </w:rPr>
                        <w:tab/>
                        <w:t>4,512 RON / 1147 $, monthly (April 2018)</w:t>
                      </w:r>
                    </w:p>
                    <w:p w:rsidR="002336B9" w:rsidRPr="00061EAD" w:rsidRDefault="002336B9" w:rsidP="005E3E69">
                      <w:pPr>
                        <w:spacing w:after="0"/>
                        <w:rPr>
                          <w:rFonts w:ascii="Times New Roman" w:hAnsi="Times New Roman"/>
                          <w:lang w:val="en-US"/>
                        </w:rPr>
                      </w:pPr>
                      <w:r w:rsidRPr="00061EAD">
                        <w:rPr>
                          <w:rFonts w:ascii="Times New Roman" w:hAnsi="Times New Roman"/>
                          <w:lang w:val="en-US"/>
                        </w:rPr>
                        <w:t>Currency</w:t>
                      </w:r>
                      <w:r w:rsidRPr="00061EAD">
                        <w:rPr>
                          <w:rFonts w:ascii="Times New Roman" w:hAnsi="Times New Roman"/>
                          <w:lang w:val="en-US"/>
                        </w:rPr>
                        <w:tab/>
                      </w:r>
                      <w:r w:rsidRPr="00061EAD">
                        <w:rPr>
                          <w:rFonts w:ascii="Times New Roman" w:hAnsi="Times New Roman"/>
                          <w:lang w:val="en-US"/>
                        </w:rPr>
                        <w:tab/>
                        <w:t xml:space="preserve">Romanian </w:t>
                      </w:r>
                      <w:proofErr w:type="spellStart"/>
                      <w:r w:rsidRPr="00061EAD">
                        <w:rPr>
                          <w:rFonts w:ascii="Times New Roman" w:hAnsi="Times New Roman"/>
                          <w:lang w:val="en-US"/>
                        </w:rPr>
                        <w:t>Leu</w:t>
                      </w:r>
                      <w:proofErr w:type="spellEnd"/>
                      <w:r w:rsidRPr="00061EAD">
                        <w:rPr>
                          <w:rFonts w:ascii="Times New Roman" w:hAnsi="Times New Roman"/>
                          <w:lang w:val="en-US"/>
                        </w:rPr>
                        <w:t xml:space="preserve"> – exchange rate RON/EUR: 4.5</w:t>
                      </w:r>
                    </w:p>
                  </w:txbxContent>
                </v:textbox>
              </v:shape>
            </w:pict>
          </mc:Fallback>
        </mc:AlternateContent>
      </w:r>
    </w:p>
    <w:p w:rsidR="00221DA9" w:rsidRPr="00EA0AF0" w:rsidRDefault="00221DA9" w:rsidP="00221DA9">
      <w:pPr>
        <w:rPr>
          <w:rFonts w:ascii="Times New Roman" w:hAnsi="Times New Roman"/>
          <w:color w:val="00B050"/>
          <w:lang w:val="en-US"/>
        </w:rPr>
      </w:pPr>
    </w:p>
    <w:p w:rsidR="00221DA9" w:rsidRPr="00EA0AF0" w:rsidRDefault="00221DA9" w:rsidP="00221DA9">
      <w:pPr>
        <w:rPr>
          <w:rFonts w:ascii="Times New Roman" w:hAnsi="Times New Roman"/>
          <w:color w:val="00B050"/>
          <w:lang w:val="en-US"/>
        </w:rPr>
      </w:pPr>
    </w:p>
    <w:p w:rsidR="00221DA9" w:rsidRPr="00EA0AF0" w:rsidRDefault="00221DA9" w:rsidP="00221DA9">
      <w:pPr>
        <w:rPr>
          <w:rFonts w:ascii="Times New Roman" w:hAnsi="Times New Roman"/>
          <w:sz w:val="20"/>
          <w:szCs w:val="20"/>
          <w:lang w:val="en-US"/>
        </w:rPr>
      </w:pPr>
    </w:p>
    <w:p w:rsidR="00221DA9" w:rsidRPr="00EA0AF0" w:rsidRDefault="00221DA9" w:rsidP="00221DA9">
      <w:pPr>
        <w:rPr>
          <w:rFonts w:ascii="Times New Roman" w:hAnsi="Times New Roman"/>
          <w:sz w:val="20"/>
          <w:szCs w:val="20"/>
          <w:lang w:val="en-US"/>
        </w:rPr>
      </w:pPr>
    </w:p>
    <w:p w:rsidR="00221DA9" w:rsidRPr="00EA0AF0" w:rsidRDefault="00221DA9" w:rsidP="00221DA9">
      <w:pPr>
        <w:rPr>
          <w:rFonts w:ascii="Times New Roman" w:hAnsi="Times New Roman"/>
          <w:sz w:val="20"/>
          <w:szCs w:val="20"/>
          <w:lang w:val="en-US"/>
        </w:rPr>
      </w:pPr>
    </w:p>
    <w:p w:rsidR="00221DA9" w:rsidRPr="00EA0AF0" w:rsidRDefault="00221DA9" w:rsidP="00221DA9">
      <w:pPr>
        <w:spacing w:before="100" w:beforeAutospacing="1"/>
        <w:outlineLvl w:val="0"/>
        <w:rPr>
          <w:rFonts w:ascii="Times New Roman" w:eastAsia="Times New Roman" w:hAnsi="Times New Roman"/>
          <w:b/>
          <w:bCs/>
          <w:color w:val="000000"/>
          <w:kern w:val="36"/>
          <w:lang w:val="en-US" w:eastAsia="ro-RO"/>
        </w:rPr>
      </w:pPr>
    </w:p>
    <w:p w:rsidR="00221DA9" w:rsidRPr="00EA0AF0" w:rsidRDefault="00221DA9" w:rsidP="00221DA9">
      <w:pPr>
        <w:outlineLvl w:val="0"/>
        <w:rPr>
          <w:rFonts w:ascii="Times New Roman" w:eastAsia="Times New Roman" w:hAnsi="Times New Roman"/>
          <w:b/>
          <w:bCs/>
          <w:color w:val="000000"/>
          <w:kern w:val="36"/>
          <w:lang w:val="en-US" w:eastAsia="ro-RO"/>
        </w:rPr>
      </w:pPr>
    </w:p>
    <w:p w:rsidR="00732FBA" w:rsidRPr="00EA0AF0" w:rsidRDefault="00732FBA" w:rsidP="00A914A1">
      <w:pPr>
        <w:autoSpaceDE w:val="0"/>
        <w:autoSpaceDN w:val="0"/>
        <w:adjustRightInd w:val="0"/>
        <w:spacing w:after="0" w:line="240" w:lineRule="auto"/>
        <w:jc w:val="both"/>
        <w:rPr>
          <w:rFonts w:ascii="Times New Roman" w:eastAsia="Times New Roman" w:hAnsi="Times New Roman"/>
          <w:bCs/>
          <w:color w:val="00B050"/>
          <w:kern w:val="36"/>
          <w:sz w:val="16"/>
          <w:szCs w:val="16"/>
          <w:lang w:val="en-US" w:eastAsia="ro-RO"/>
        </w:rPr>
      </w:pPr>
    </w:p>
    <w:p w:rsidR="00AE13C3" w:rsidRPr="00EA0AF0" w:rsidRDefault="00E15D8F" w:rsidP="00EA0AF0">
      <w:pPr>
        <w:spacing w:after="0"/>
        <w:jc w:val="both"/>
        <w:rPr>
          <w:rStyle w:val="Lienhypertexte"/>
          <w:color w:val="auto"/>
          <w:u w:val="none"/>
        </w:rPr>
      </w:pPr>
      <w:r w:rsidRPr="00EA0AF0">
        <w:rPr>
          <w:rStyle w:val="Lienhypertexte"/>
          <w:color w:val="auto"/>
          <w:u w:val="none"/>
        </w:rPr>
        <w:t xml:space="preserve">GDP expansion of 7% </w:t>
      </w:r>
      <w:r w:rsidR="00D015CA" w:rsidRPr="00EA0AF0">
        <w:rPr>
          <w:rStyle w:val="Lienhypertexte"/>
          <w:color w:val="auto"/>
          <w:u w:val="none"/>
        </w:rPr>
        <w:t xml:space="preserve">in 2017 has made Romania </w:t>
      </w:r>
      <w:r w:rsidRPr="00EA0AF0">
        <w:rPr>
          <w:rStyle w:val="Lienhypertexte"/>
          <w:color w:val="auto"/>
          <w:u w:val="none"/>
        </w:rPr>
        <w:t xml:space="preserve">the fastest growing country in the European Union </w:t>
      </w:r>
      <w:r w:rsidR="00D015CA" w:rsidRPr="00EA0AF0">
        <w:rPr>
          <w:rStyle w:val="Lienhypertexte"/>
          <w:color w:val="auto"/>
          <w:u w:val="none"/>
        </w:rPr>
        <w:t>by far.</w:t>
      </w:r>
      <w:r w:rsidRPr="00EA0AF0">
        <w:rPr>
          <w:rStyle w:val="Lienhypertexte"/>
          <w:color w:val="auto"/>
          <w:u w:val="none"/>
        </w:rPr>
        <w:t xml:space="preserve"> This was </w:t>
      </w:r>
      <w:r w:rsidRPr="00EA0AF0">
        <w:rPr>
          <w:rStyle w:val="Lienhypertexte"/>
          <w:rFonts w:ascii="Times New Roman" w:hAnsi="Times New Roman"/>
          <w:color w:val="auto"/>
          <w:u w:val="none"/>
        </w:rPr>
        <w:t>due to private consumption and good results from services, manufacturing and agriculture. The main driver of consumption was wage growth stemming from government policies and a tightening labor market. The increased wages will prove to be sustainable given the higher gap between productivity and labor costs in Romania than most countries in the region.</w:t>
      </w:r>
      <w:r w:rsidR="00AE13C3" w:rsidRPr="00EA0AF0">
        <w:rPr>
          <w:rStyle w:val="Lienhypertexte"/>
          <w:rFonts w:ascii="Times New Roman" w:hAnsi="Times New Roman"/>
          <w:color w:val="auto"/>
          <w:u w:val="none"/>
        </w:rPr>
        <w:t xml:space="preserve"> E</w:t>
      </w:r>
      <w:r w:rsidR="005F35CB" w:rsidRPr="00EA0AF0">
        <w:rPr>
          <w:rStyle w:val="Lienhypertexte"/>
          <w:color w:val="auto"/>
          <w:u w:val="none"/>
        </w:rPr>
        <w:t>xports held up quite well amid an unexpectedly robust Eurozone economy.</w:t>
      </w:r>
    </w:p>
    <w:p w:rsidR="00AE13C3" w:rsidRPr="00EA0AF0" w:rsidRDefault="00AE13C3" w:rsidP="00EA0AF0">
      <w:pPr>
        <w:spacing w:after="0"/>
        <w:jc w:val="both"/>
        <w:rPr>
          <w:rStyle w:val="Lienhypertexte"/>
          <w:rFonts w:ascii="Times New Roman" w:hAnsi="Times New Roman"/>
          <w:color w:val="auto"/>
          <w:u w:val="none"/>
        </w:rPr>
      </w:pPr>
      <w:r w:rsidRPr="00EA0AF0">
        <w:rPr>
          <w:rStyle w:val="Lienhypertexte"/>
          <w:rFonts w:ascii="Times New Roman" w:hAnsi="Times New Roman"/>
          <w:color w:val="auto"/>
          <w:u w:val="none"/>
        </w:rPr>
        <w:t xml:space="preserve">In 2018, GDP growth will slow down to a more sustainable level (around 5%) as a result of reduced fiscal stimulus, monetary policy tightening, accelerating inflation, a higher appetence for saving and a weaker RON, issues that will pressure consumer confidence, not just real wages. </w:t>
      </w:r>
      <w:r w:rsidRPr="00EA0AF0">
        <w:rPr>
          <w:rStyle w:val="Lienhypertexte"/>
          <w:color w:val="auto"/>
          <w:u w:val="none"/>
        </w:rPr>
        <w:t>Romania will remain among the top performing European economies. Consequently, the outlook for office, retail and industrial spaces remains quite rosy.</w:t>
      </w:r>
      <w:r w:rsidRPr="00EA0AF0">
        <w:rPr>
          <w:rStyle w:val="Lienhypertexte"/>
          <w:rFonts w:ascii="Times New Roman" w:hAnsi="Times New Roman"/>
          <w:color w:val="auto"/>
          <w:u w:val="none"/>
        </w:rPr>
        <w:t xml:space="preserve"> The major regional cities (Cluj-Napoca, Timisoara, Iasi, Brasov) will contribute with a higher share of GDP over the next years: the good quality of life they offer influences the migratory movement of the population at the expense of the Capital, and the low operating costs combined with their large number of IT&amp;C students could cause large companies to expand in the rest of the country, according to</w:t>
      </w:r>
      <w:r w:rsidR="000E4B00" w:rsidRPr="00EA0AF0">
        <w:rPr>
          <w:rStyle w:val="Lienhypertexte"/>
          <w:rFonts w:ascii="Times New Roman" w:hAnsi="Times New Roman"/>
          <w:color w:val="auto"/>
          <w:u w:val="none"/>
        </w:rPr>
        <w:t xml:space="preserve"> Colliers International Romania Research and Forecast Report 2018.</w:t>
      </w:r>
    </w:p>
    <w:p w:rsidR="00AE13C3" w:rsidRPr="00EA0AF0" w:rsidRDefault="00AE13C3" w:rsidP="00EA0AF0">
      <w:pPr>
        <w:spacing w:after="0"/>
        <w:jc w:val="both"/>
        <w:rPr>
          <w:rStyle w:val="Lienhypertexte"/>
          <w:color w:val="auto"/>
          <w:u w:val="none"/>
        </w:rPr>
      </w:pPr>
    </w:p>
    <w:p w:rsidR="00AE784E" w:rsidRPr="00EA0AF0" w:rsidRDefault="005F35CB" w:rsidP="000E4B00">
      <w:pPr>
        <w:autoSpaceDE w:val="0"/>
        <w:autoSpaceDN w:val="0"/>
        <w:adjustRightInd w:val="0"/>
        <w:spacing w:after="0" w:line="240" w:lineRule="auto"/>
        <w:jc w:val="both"/>
        <w:rPr>
          <w:rFonts w:ascii="Times New Roman" w:eastAsia="Times New Roman" w:hAnsi="Times New Roman"/>
          <w:bCs/>
          <w:color w:val="000000"/>
          <w:kern w:val="36"/>
          <w:lang w:val="en-US" w:eastAsia="ro-RO"/>
        </w:rPr>
      </w:pPr>
      <w:r w:rsidRPr="00EA0AF0">
        <w:rPr>
          <w:rFonts w:ascii="Times New Roman" w:eastAsia="Times New Roman" w:hAnsi="Times New Roman"/>
          <w:bCs/>
          <w:color w:val="000000"/>
          <w:kern w:val="36"/>
          <w:lang w:val="en-US" w:eastAsia="ro-RO"/>
        </w:rPr>
        <w:lastRenderedPageBreak/>
        <w:t xml:space="preserve"> </w:t>
      </w:r>
    </w:p>
    <w:p w:rsidR="00E114E3" w:rsidRPr="00954D9F" w:rsidRDefault="00954D9F" w:rsidP="00954D9F">
      <w:pPr>
        <w:spacing w:after="0" w:line="240" w:lineRule="auto"/>
        <w:jc w:val="both"/>
        <w:rPr>
          <w:rFonts w:ascii="Times New Roman" w:eastAsia="MS Mincho" w:hAnsi="Times New Roman"/>
          <w:b/>
          <w:sz w:val="24"/>
          <w:szCs w:val="24"/>
          <w:lang w:val="en-US" w:eastAsia="fr-FR"/>
        </w:rPr>
      </w:pPr>
      <w:r w:rsidRPr="00954D9F">
        <w:rPr>
          <w:rFonts w:ascii="Times New Roman" w:eastAsia="MS Mincho" w:hAnsi="Times New Roman"/>
          <w:b/>
          <w:sz w:val="24"/>
          <w:szCs w:val="24"/>
          <w:lang w:val="en-US" w:eastAsia="fr-FR"/>
        </w:rPr>
        <w:t xml:space="preserve">2. </w:t>
      </w:r>
      <w:r w:rsidR="00E114E3" w:rsidRPr="00954D9F">
        <w:rPr>
          <w:rFonts w:ascii="Times New Roman" w:eastAsia="MS Mincho" w:hAnsi="Times New Roman"/>
          <w:b/>
          <w:sz w:val="24"/>
          <w:szCs w:val="24"/>
          <w:lang w:val="en-US" w:eastAsia="fr-FR"/>
        </w:rPr>
        <w:t xml:space="preserve">Construction </w:t>
      </w:r>
      <w:r w:rsidRPr="00954D9F">
        <w:rPr>
          <w:rFonts w:ascii="Times New Roman" w:eastAsia="MS Mincho" w:hAnsi="Times New Roman"/>
          <w:b/>
          <w:sz w:val="24"/>
          <w:szCs w:val="24"/>
          <w:lang w:val="en-US" w:eastAsia="fr-FR"/>
        </w:rPr>
        <w:t>market:</w:t>
      </w:r>
      <w:r w:rsidR="00E114E3" w:rsidRPr="00954D9F">
        <w:rPr>
          <w:rFonts w:ascii="Times New Roman" w:eastAsia="MS Mincho" w:hAnsi="Times New Roman"/>
          <w:b/>
          <w:sz w:val="24"/>
          <w:szCs w:val="24"/>
          <w:lang w:val="en-US" w:eastAsia="fr-FR"/>
        </w:rPr>
        <w:t xml:space="preserve"> macroeconomic perspectives </w:t>
      </w:r>
    </w:p>
    <w:p w:rsidR="00E114E3" w:rsidRPr="00EA0AF0" w:rsidRDefault="00E114E3" w:rsidP="0051273A">
      <w:pPr>
        <w:spacing w:line="240" w:lineRule="auto"/>
        <w:jc w:val="both"/>
        <w:rPr>
          <w:rStyle w:val="Lienhypertexte"/>
          <w:rFonts w:ascii="Times New Roman" w:hAnsi="Times New Roman"/>
          <w:color w:val="auto"/>
          <w:u w:val="none"/>
          <w:lang w:val="en-US"/>
        </w:rPr>
      </w:pPr>
    </w:p>
    <w:p w:rsidR="009239FF" w:rsidRPr="0089798C" w:rsidRDefault="009239FF" w:rsidP="009239FF">
      <w:pPr>
        <w:spacing w:after="0"/>
        <w:jc w:val="both"/>
        <w:rPr>
          <w:rStyle w:val="Lienhypertexte"/>
          <w:rFonts w:ascii="Times New Roman" w:hAnsi="Times New Roman"/>
          <w:color w:val="auto"/>
          <w:u w:val="none"/>
        </w:rPr>
      </w:pPr>
      <w:r w:rsidRPr="00954D9F">
        <w:rPr>
          <w:rStyle w:val="Lienhypertexte"/>
          <w:rFonts w:ascii="Times New Roman" w:hAnsi="Times New Roman"/>
          <w:color w:val="auto"/>
          <w:u w:val="none"/>
          <w:lang w:val="en-US"/>
        </w:rPr>
        <w:t xml:space="preserve">The construction market has matured considerably in recent years and large investors have begun to put more emphasis on </w:t>
      </w:r>
      <w:proofErr w:type="spellStart"/>
      <w:r w:rsidRPr="00954D9F">
        <w:rPr>
          <w:rStyle w:val="Lienhypertexte"/>
          <w:rFonts w:ascii="Times New Roman" w:hAnsi="Times New Roman"/>
          <w:color w:val="auto"/>
          <w:u w:val="none"/>
          <w:lang w:val="en-US"/>
        </w:rPr>
        <w:t>innov</w:t>
      </w:r>
      <w:r w:rsidRPr="0089798C">
        <w:rPr>
          <w:rStyle w:val="Lienhypertexte"/>
          <w:rFonts w:ascii="Times New Roman" w:hAnsi="Times New Roman"/>
          <w:color w:val="auto"/>
          <w:u w:val="none"/>
        </w:rPr>
        <w:t>ation</w:t>
      </w:r>
      <w:proofErr w:type="spellEnd"/>
      <w:r w:rsidRPr="0089798C">
        <w:rPr>
          <w:rStyle w:val="Lienhypertexte"/>
          <w:rFonts w:ascii="Times New Roman" w:hAnsi="Times New Roman"/>
          <w:color w:val="auto"/>
          <w:u w:val="none"/>
        </w:rPr>
        <w:t xml:space="preserve"> and </w:t>
      </w:r>
      <w:proofErr w:type="spellStart"/>
      <w:r w:rsidRPr="0089798C">
        <w:rPr>
          <w:rStyle w:val="Lienhypertexte"/>
          <w:rFonts w:ascii="Times New Roman" w:hAnsi="Times New Roman"/>
          <w:color w:val="auto"/>
          <w:u w:val="none"/>
        </w:rPr>
        <w:t>quality</w:t>
      </w:r>
      <w:proofErr w:type="spellEnd"/>
      <w:r w:rsidRPr="0089798C">
        <w:rPr>
          <w:rStyle w:val="Lienhypertexte"/>
          <w:rFonts w:ascii="Times New Roman" w:hAnsi="Times New Roman"/>
          <w:color w:val="auto"/>
          <w:u w:val="none"/>
        </w:rPr>
        <w:t>. The market contributes 4.6% of gross domestic product (GDP), but experts say the sector's potential is around 8-9%.</w:t>
      </w:r>
    </w:p>
    <w:p w:rsidR="00B44F84" w:rsidRPr="0089798C" w:rsidRDefault="009239FF" w:rsidP="00B44F84">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I</w:t>
      </w:r>
      <w:r w:rsidR="004D7E72" w:rsidRPr="0089798C">
        <w:rPr>
          <w:rStyle w:val="Lienhypertexte"/>
          <w:rFonts w:ascii="Times New Roman" w:hAnsi="Times New Roman"/>
          <w:color w:val="auto"/>
          <w:u w:val="none"/>
        </w:rPr>
        <w:t xml:space="preserve">n 2017 </w:t>
      </w:r>
      <w:r w:rsidRPr="0089798C">
        <w:rPr>
          <w:rStyle w:val="Lienhypertexte"/>
          <w:rFonts w:ascii="Times New Roman" w:hAnsi="Times New Roman"/>
          <w:color w:val="auto"/>
          <w:u w:val="none"/>
        </w:rPr>
        <w:t xml:space="preserve">the market dropped </w:t>
      </w:r>
      <w:r w:rsidR="004D7E72" w:rsidRPr="0089798C">
        <w:rPr>
          <w:rStyle w:val="Lienhypertexte"/>
          <w:rFonts w:ascii="Times New Roman" w:hAnsi="Times New Roman"/>
          <w:color w:val="auto"/>
          <w:u w:val="none"/>
        </w:rPr>
        <w:t>to a historic minimum of the last 10 years, reaching EUR 8.96 billion, a decline of 7.05 percent over the previous year, when the market value amounted to EUR 9.64 billion, according to the Romanian Association of Construction Entrepreneurs (ARACO) data.</w:t>
      </w:r>
      <w:r w:rsidR="00260AF2" w:rsidRPr="0089798C">
        <w:rPr>
          <w:rStyle w:val="Lienhypertexte"/>
          <w:rFonts w:ascii="Times New Roman" w:hAnsi="Times New Roman"/>
          <w:color w:val="auto"/>
          <w:u w:val="none"/>
        </w:rPr>
        <w:t xml:space="preserve"> </w:t>
      </w:r>
      <w:r w:rsidR="004D7E72" w:rsidRPr="0089798C">
        <w:rPr>
          <w:rStyle w:val="Lienhypertexte"/>
          <w:rFonts w:ascii="Times New Roman" w:hAnsi="Times New Roman"/>
          <w:color w:val="auto"/>
          <w:u w:val="none"/>
        </w:rPr>
        <w:t>In this context, there were recorded decreases on almost all levels in the construction sector, except in the residential construction sector, whe</w:t>
      </w:r>
      <w:r w:rsidR="00A32F37" w:rsidRPr="0089798C">
        <w:rPr>
          <w:rStyle w:val="Lienhypertexte"/>
          <w:rFonts w:ascii="Times New Roman" w:hAnsi="Times New Roman"/>
          <w:color w:val="auto"/>
          <w:u w:val="none"/>
        </w:rPr>
        <w:t>re there was a 69.7 percent increase</w:t>
      </w:r>
      <w:r w:rsidR="004D7E72" w:rsidRPr="0089798C">
        <w:rPr>
          <w:rStyle w:val="Lienhypertexte"/>
          <w:rFonts w:ascii="Times New Roman" w:hAnsi="Times New Roman"/>
          <w:color w:val="auto"/>
          <w:u w:val="none"/>
        </w:rPr>
        <w:t>.</w:t>
      </w:r>
      <w:r w:rsidRPr="0089798C">
        <w:rPr>
          <w:rStyle w:val="Lienhypertexte"/>
          <w:rFonts w:ascii="Times New Roman" w:hAnsi="Times New Roman"/>
          <w:color w:val="auto"/>
          <w:u w:val="none"/>
        </w:rPr>
        <w:t xml:space="preserve"> </w:t>
      </w:r>
      <w:r w:rsidR="00B44F84" w:rsidRPr="0089798C">
        <w:rPr>
          <w:rStyle w:val="Lienhypertexte"/>
          <w:rFonts w:ascii="Times New Roman" w:hAnsi="Times New Roman"/>
          <w:color w:val="auto"/>
          <w:u w:val="none"/>
        </w:rPr>
        <w:t>A decrease in activity was recorded in maintenance and repair work (-24.6%), civil engineering (-21%), capital repairs (-17.7%) and non-residential construction (-12.6%). The Romanian state invested EUR 5.9 billion last year in constructions, with EUR 0.6 billion below 2016 level.</w:t>
      </w:r>
    </w:p>
    <w:p w:rsidR="008B1D1C" w:rsidRPr="0089798C" w:rsidRDefault="003600FF" w:rsidP="008B1D1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M</w:t>
      </w:r>
      <w:r w:rsidR="008B1D1C" w:rsidRPr="0089798C">
        <w:rPr>
          <w:rStyle w:val="Lienhypertexte"/>
          <w:rFonts w:ascii="Times New Roman" w:hAnsi="Times New Roman"/>
          <w:color w:val="auto"/>
          <w:u w:val="none"/>
        </w:rPr>
        <w:t>ore than 60,000 companies with more than 150,000 employees</w:t>
      </w:r>
      <w:r w:rsidRPr="0089798C">
        <w:rPr>
          <w:rStyle w:val="Lienhypertexte"/>
          <w:rFonts w:ascii="Times New Roman" w:hAnsi="Times New Roman"/>
          <w:color w:val="auto"/>
          <w:u w:val="none"/>
        </w:rPr>
        <w:t xml:space="preserve"> are active in field</w:t>
      </w:r>
      <w:r w:rsidR="008B1D1C" w:rsidRPr="0089798C">
        <w:rPr>
          <w:rStyle w:val="Lienhypertexte"/>
          <w:rFonts w:ascii="Times New Roman" w:hAnsi="Times New Roman"/>
          <w:color w:val="auto"/>
          <w:u w:val="none"/>
        </w:rPr>
        <w:t xml:space="preserve">. The largest transactions </w:t>
      </w:r>
      <w:r w:rsidR="00D23D6E" w:rsidRPr="0089798C">
        <w:rPr>
          <w:rStyle w:val="Lienhypertexte"/>
          <w:rFonts w:ascii="Times New Roman" w:hAnsi="Times New Roman"/>
          <w:color w:val="auto"/>
          <w:u w:val="none"/>
        </w:rPr>
        <w:t>a</w:t>
      </w:r>
      <w:r w:rsidR="008B1D1C" w:rsidRPr="0089798C">
        <w:rPr>
          <w:rStyle w:val="Lienhypertexte"/>
          <w:rFonts w:ascii="Times New Roman" w:hAnsi="Times New Roman"/>
          <w:color w:val="auto"/>
          <w:u w:val="none"/>
        </w:rPr>
        <w:t>re made by companies in Bucharest and in cities such as Cluj-Napoca, Timisoara, Brasov and Ploiesti. The market is dominated</w:t>
      </w:r>
      <w:r w:rsidRPr="0089798C">
        <w:rPr>
          <w:rStyle w:val="Lienhypertexte"/>
          <w:rFonts w:ascii="Times New Roman" w:hAnsi="Times New Roman"/>
          <w:color w:val="auto"/>
          <w:u w:val="none"/>
        </w:rPr>
        <w:t>,</w:t>
      </w:r>
      <w:r w:rsidR="008B1D1C" w:rsidRPr="0089798C">
        <w:rPr>
          <w:rStyle w:val="Lienhypertexte"/>
          <w:rFonts w:ascii="Times New Roman" w:hAnsi="Times New Roman"/>
          <w:color w:val="auto"/>
          <w:u w:val="none"/>
        </w:rPr>
        <w:t xml:space="preserve"> in number of companies, by those of very small size, that is to say up to 5 employees. The 54,000 companies in this category are active mainly in the residential sector.</w:t>
      </w:r>
    </w:p>
    <w:p w:rsidR="00CC662E" w:rsidRPr="00EA0AF0" w:rsidRDefault="00CC662E" w:rsidP="00E14458">
      <w:pPr>
        <w:spacing w:after="0" w:line="240" w:lineRule="auto"/>
        <w:jc w:val="both"/>
        <w:rPr>
          <w:rStyle w:val="Lienhypertexte"/>
          <w:rFonts w:ascii="Times New Roman" w:hAnsi="Times New Roman"/>
          <w:color w:val="auto"/>
          <w:u w:val="none"/>
          <w:lang w:val="en-US"/>
        </w:rPr>
      </w:pPr>
    </w:p>
    <w:p w:rsidR="00D23D6E" w:rsidRPr="0089798C" w:rsidRDefault="00D23D6E"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Top </w:t>
      </w:r>
      <w:r w:rsidR="009D6F9E" w:rsidRPr="0089798C">
        <w:rPr>
          <w:rStyle w:val="Lienhypertexte"/>
          <w:rFonts w:ascii="Times New Roman" w:hAnsi="Times New Roman"/>
          <w:color w:val="auto"/>
          <w:u w:val="none"/>
        </w:rPr>
        <w:t>five</w:t>
      </w:r>
      <w:r w:rsidRPr="0089798C">
        <w:rPr>
          <w:rStyle w:val="Lienhypertexte"/>
          <w:rFonts w:ascii="Times New Roman" w:hAnsi="Times New Roman"/>
          <w:color w:val="auto"/>
          <w:u w:val="none"/>
        </w:rPr>
        <w:t xml:space="preserve"> construction companies based on turnover in 2017:</w:t>
      </w:r>
    </w:p>
    <w:p w:rsidR="00D23D6E" w:rsidRPr="00EA0AF0" w:rsidRDefault="00D23D6E" w:rsidP="0089798C">
      <w:pPr>
        <w:spacing w:after="0"/>
        <w:jc w:val="both"/>
        <w:rPr>
          <w:rStyle w:val="Lienhypertexte"/>
          <w:rFonts w:ascii="Times New Roman" w:hAnsi="Times New Roman"/>
          <w:color w:val="auto"/>
          <w:u w:val="none"/>
          <w:lang w:val="en-US"/>
        </w:rPr>
      </w:pPr>
      <w:r w:rsidRPr="0089798C">
        <w:rPr>
          <w:rStyle w:val="Lienhypertexte"/>
          <w:rFonts w:ascii="Times New Roman" w:hAnsi="Times New Roman"/>
          <w:color w:val="auto"/>
          <w:u w:val="none"/>
        </w:rPr>
        <w:t>1. S</w:t>
      </w:r>
      <w:r w:rsidR="009D6F9E" w:rsidRPr="0089798C">
        <w:rPr>
          <w:rStyle w:val="Lienhypertexte"/>
          <w:rFonts w:ascii="Times New Roman" w:hAnsi="Times New Roman"/>
          <w:color w:val="auto"/>
          <w:u w:val="none"/>
        </w:rPr>
        <w:t>TRABAG</w:t>
      </w:r>
      <w:r w:rsidRPr="0089798C">
        <w:rPr>
          <w:rStyle w:val="Lienhypertexte"/>
          <w:rFonts w:ascii="Times New Roman" w:hAnsi="Times New Roman"/>
          <w:color w:val="auto"/>
          <w:u w:val="none"/>
        </w:rPr>
        <w:t xml:space="preserve"> </w:t>
      </w:r>
      <w:hyperlink r:id="rId12" w:history="1">
        <w:r w:rsidRPr="00EA0AF0">
          <w:rPr>
            <w:rStyle w:val="Lienhypertexte"/>
            <w:rFonts w:ascii="Times New Roman" w:hAnsi="Times New Roman"/>
            <w:lang w:val="en-US"/>
          </w:rPr>
          <w:t>http://www.strabag.ro</w:t>
        </w:r>
      </w:hyperlink>
    </w:p>
    <w:p w:rsidR="00D23D6E" w:rsidRPr="00EA0AF0" w:rsidRDefault="00D23D6E" w:rsidP="00D23D6E">
      <w:pPr>
        <w:spacing w:after="0" w:line="240" w:lineRule="auto"/>
        <w:jc w:val="both"/>
        <w:rPr>
          <w:rStyle w:val="Lienhypertexte"/>
          <w:rFonts w:ascii="Times New Roman" w:hAnsi="Times New Roman"/>
          <w:color w:val="auto"/>
          <w:u w:val="none"/>
          <w:lang w:val="en-US"/>
        </w:rPr>
      </w:pPr>
      <w:r w:rsidRPr="0089798C">
        <w:rPr>
          <w:rStyle w:val="Lienhypertexte"/>
          <w:rFonts w:ascii="Times New Roman" w:hAnsi="Times New Roman"/>
          <w:color w:val="auto"/>
          <w:u w:val="none"/>
        </w:rPr>
        <w:t xml:space="preserve">2. CON-A </w:t>
      </w:r>
      <w:hyperlink r:id="rId13" w:history="1">
        <w:r w:rsidRPr="00EA0AF0">
          <w:rPr>
            <w:rStyle w:val="Lienhypertexte"/>
            <w:rFonts w:ascii="Times New Roman" w:hAnsi="Times New Roman"/>
            <w:lang w:val="en-US"/>
          </w:rPr>
          <w:t>http://cona.ro</w:t>
        </w:r>
      </w:hyperlink>
    </w:p>
    <w:p w:rsidR="00D23D6E" w:rsidRPr="00EA0AF0" w:rsidRDefault="00D23D6E" w:rsidP="00D23D6E">
      <w:pPr>
        <w:spacing w:after="0" w:line="240" w:lineRule="auto"/>
        <w:jc w:val="both"/>
        <w:rPr>
          <w:rStyle w:val="Lienhypertexte"/>
          <w:rFonts w:ascii="Times New Roman" w:hAnsi="Times New Roman"/>
          <w:color w:val="auto"/>
          <w:u w:val="none"/>
          <w:lang w:val="en-US"/>
        </w:rPr>
      </w:pPr>
      <w:r w:rsidRPr="0089798C">
        <w:rPr>
          <w:rStyle w:val="Lienhypertexte"/>
          <w:rFonts w:ascii="Times New Roman" w:hAnsi="Times New Roman"/>
          <w:color w:val="auto"/>
          <w:u w:val="none"/>
        </w:rPr>
        <w:t>3. BOG 'ART </w:t>
      </w:r>
      <w:hyperlink r:id="rId14" w:history="1">
        <w:r w:rsidRPr="00EA0AF0">
          <w:rPr>
            <w:rStyle w:val="Lienhypertexte"/>
            <w:rFonts w:ascii="Times New Roman" w:hAnsi="Times New Roman"/>
            <w:lang w:val="en-US"/>
          </w:rPr>
          <w:t>http://www.bogart.ro</w:t>
        </w:r>
      </w:hyperlink>
    </w:p>
    <w:p w:rsidR="00D23D6E" w:rsidRPr="00EA0AF0" w:rsidRDefault="00D23D6E" w:rsidP="00D23D6E">
      <w:pPr>
        <w:spacing w:after="0" w:line="240" w:lineRule="auto"/>
        <w:jc w:val="both"/>
        <w:rPr>
          <w:rStyle w:val="Lienhypertexte"/>
          <w:rFonts w:ascii="Times New Roman" w:hAnsi="Times New Roman"/>
          <w:color w:val="auto"/>
          <w:u w:val="none"/>
          <w:lang w:val="de-DE"/>
        </w:rPr>
      </w:pPr>
      <w:r w:rsidRPr="0089798C">
        <w:rPr>
          <w:rStyle w:val="Lienhypertexte"/>
          <w:rFonts w:ascii="Times New Roman" w:hAnsi="Times New Roman"/>
          <w:color w:val="auto"/>
          <w:u w:val="none"/>
        </w:rPr>
        <w:t>4. P</w:t>
      </w:r>
      <w:r w:rsidR="009D6F9E" w:rsidRPr="0089798C">
        <w:rPr>
          <w:rStyle w:val="Lienhypertexte"/>
          <w:rFonts w:ascii="Times New Roman" w:hAnsi="Times New Roman"/>
          <w:color w:val="auto"/>
          <w:u w:val="none"/>
        </w:rPr>
        <w:t>ORR</w:t>
      </w:r>
      <w:r w:rsidRPr="0089798C">
        <w:rPr>
          <w:rStyle w:val="Lienhypertexte"/>
          <w:rFonts w:ascii="Times New Roman" w:hAnsi="Times New Roman"/>
          <w:color w:val="auto"/>
          <w:u w:val="none"/>
        </w:rPr>
        <w:t xml:space="preserve"> C</w:t>
      </w:r>
      <w:r w:rsidR="009D6F9E" w:rsidRPr="0089798C">
        <w:rPr>
          <w:rStyle w:val="Lienhypertexte"/>
          <w:rFonts w:ascii="Times New Roman" w:hAnsi="Times New Roman"/>
          <w:color w:val="auto"/>
          <w:u w:val="none"/>
        </w:rPr>
        <w:t>ONSTRUCT</w:t>
      </w:r>
      <w:r w:rsidRPr="0089798C">
        <w:rPr>
          <w:rStyle w:val="Lienhypertexte"/>
          <w:rFonts w:ascii="Times New Roman" w:hAnsi="Times New Roman"/>
          <w:color w:val="auto"/>
          <w:u w:val="none"/>
        </w:rPr>
        <w:t> </w:t>
      </w:r>
      <w:hyperlink r:id="rId15" w:history="1">
        <w:r w:rsidRPr="00EA0AF0">
          <w:rPr>
            <w:rStyle w:val="Lienhypertexte"/>
            <w:rFonts w:ascii="Times New Roman" w:hAnsi="Times New Roman"/>
            <w:lang w:val="de-DE"/>
          </w:rPr>
          <w:t>http://www.porr.ro</w:t>
        </w:r>
      </w:hyperlink>
    </w:p>
    <w:p w:rsidR="00D23D6E" w:rsidRPr="00EA0AF0" w:rsidRDefault="00D23D6E" w:rsidP="00D23D6E">
      <w:pPr>
        <w:spacing w:after="0" w:line="240" w:lineRule="auto"/>
        <w:jc w:val="both"/>
        <w:rPr>
          <w:rStyle w:val="Lienhypertexte"/>
          <w:rFonts w:ascii="Times New Roman" w:hAnsi="Times New Roman"/>
          <w:color w:val="auto"/>
          <w:u w:val="none"/>
        </w:rPr>
      </w:pPr>
      <w:r w:rsidRPr="00EA0AF0">
        <w:rPr>
          <w:rStyle w:val="Lienhypertexte"/>
          <w:rFonts w:ascii="Times New Roman" w:hAnsi="Times New Roman"/>
          <w:color w:val="auto"/>
          <w:u w:val="none"/>
        </w:rPr>
        <w:t xml:space="preserve">5. CONSTRUCTII ERBASU </w:t>
      </w:r>
      <w:hyperlink r:id="rId16" w:history="1">
        <w:r w:rsidRPr="00EA0AF0">
          <w:rPr>
            <w:rStyle w:val="Lienhypertexte"/>
            <w:rFonts w:ascii="Times New Roman" w:hAnsi="Times New Roman"/>
          </w:rPr>
          <w:t>https://www.erbasu.ro</w:t>
        </w:r>
      </w:hyperlink>
    </w:p>
    <w:p w:rsidR="00D23D6E" w:rsidRPr="00EA0AF0" w:rsidRDefault="00D23D6E" w:rsidP="008B1D1C">
      <w:pPr>
        <w:spacing w:after="0"/>
        <w:jc w:val="both"/>
        <w:rPr>
          <w:rStyle w:val="Lienhypertexte"/>
          <w:rFonts w:ascii="Times New Roman" w:hAnsi="Times New Roman"/>
          <w:color w:val="00B050"/>
          <w:sz w:val="16"/>
          <w:szCs w:val="16"/>
          <w:u w:val="none"/>
        </w:rPr>
      </w:pPr>
    </w:p>
    <w:p w:rsidR="00750FC4" w:rsidRPr="0089798C" w:rsidRDefault="00750FC4"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The average gross wage earned by a construction worker reached EUR 512/month in 2017, up 6.44 percent compared to 2016. Moreover, the average annual productivity per employee amounted to EUR 23,047, down 7.3 percent.</w:t>
      </w:r>
    </w:p>
    <w:p w:rsidR="00750FC4" w:rsidRPr="0089798C" w:rsidRDefault="00AD3104" w:rsidP="00750FC4">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Growth of private investments in the residential and commercial sector (retail and offices)</w:t>
      </w:r>
      <w:r w:rsidR="00750FC4" w:rsidRPr="0089798C">
        <w:rPr>
          <w:rStyle w:val="Lienhypertexte"/>
          <w:rFonts w:ascii="Times New Roman" w:hAnsi="Times New Roman"/>
          <w:color w:val="auto"/>
          <w:u w:val="none"/>
        </w:rPr>
        <w:t xml:space="preserve"> following a growing demand</w:t>
      </w:r>
      <w:r w:rsidRPr="0089798C">
        <w:rPr>
          <w:rStyle w:val="Lienhypertexte"/>
          <w:rFonts w:ascii="Times New Roman" w:hAnsi="Times New Roman"/>
          <w:color w:val="auto"/>
          <w:u w:val="none"/>
        </w:rPr>
        <w:t xml:space="preserve"> has continued to support activity in the industry, which is expected to record 2.2% value added growth in 2018.</w:t>
      </w:r>
      <w:r w:rsidR="00E90A46" w:rsidRPr="0089798C">
        <w:rPr>
          <w:rStyle w:val="Lienhypertexte"/>
          <w:rFonts w:ascii="Times New Roman" w:hAnsi="Times New Roman"/>
          <w:color w:val="auto"/>
          <w:u w:val="none"/>
        </w:rPr>
        <w:t xml:space="preserve"> </w:t>
      </w:r>
      <w:r w:rsidR="00750FC4" w:rsidRPr="0089798C">
        <w:rPr>
          <w:rStyle w:val="Lienhypertexte"/>
          <w:rFonts w:ascii="Times New Roman" w:hAnsi="Times New Roman"/>
          <w:color w:val="auto"/>
          <w:u w:val="none"/>
        </w:rPr>
        <w:t>Investments in this area will continue to experience positive momentum in the coming period thanks to Romanians' interest in real estate. Increasing wages and maintaining, in principle, access to credit will boost positive growth in the sector.</w:t>
      </w:r>
    </w:p>
    <w:p w:rsidR="008A6D03" w:rsidRPr="0089798C" w:rsidRDefault="00AD3104"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Investment in public construction is still insufficient given the overall market potential, mainly hampered by underfunding of local infrastructure. This also constrains a potential surge in commercial construction activities, while residential construction remains positive, partly compensating the reduction in engineering and non-residential work. In the construction materials subsector many companies generate only small profit margins while there is a need to provide high quality products and services in order to expand the business.</w:t>
      </w:r>
      <w:r w:rsidR="00E56ED1" w:rsidRPr="0089798C">
        <w:rPr>
          <w:rStyle w:val="Lienhypertexte"/>
          <w:rFonts w:ascii="Times New Roman" w:hAnsi="Times New Roman"/>
          <w:color w:val="auto"/>
          <w:u w:val="none"/>
        </w:rPr>
        <w:t xml:space="preserve"> (</w:t>
      </w:r>
      <w:r w:rsidR="008D5FD9" w:rsidRPr="0089798C">
        <w:rPr>
          <w:rStyle w:val="Lienhypertexte"/>
          <w:rFonts w:ascii="Times New Roman" w:hAnsi="Times New Roman"/>
          <w:color w:val="auto"/>
          <w:u w:val="none"/>
        </w:rPr>
        <w:t xml:space="preserve">Source:  </w:t>
      </w:r>
      <w:proofErr w:type="spellStart"/>
      <w:r w:rsidR="008A6D03" w:rsidRPr="0089798C">
        <w:rPr>
          <w:rStyle w:val="Lienhypertexte"/>
          <w:rFonts w:ascii="Times New Roman" w:hAnsi="Times New Roman"/>
          <w:color w:val="auto"/>
          <w:u w:val="none"/>
        </w:rPr>
        <w:t>Atradius</w:t>
      </w:r>
      <w:proofErr w:type="spellEnd"/>
      <w:r w:rsidR="008A6D03" w:rsidRPr="0089798C">
        <w:rPr>
          <w:rStyle w:val="Lienhypertexte"/>
          <w:rFonts w:ascii="Times New Roman" w:hAnsi="Times New Roman"/>
          <w:color w:val="auto"/>
          <w:u w:val="none"/>
        </w:rPr>
        <w:t xml:space="preserve"> - </w:t>
      </w:r>
      <w:proofErr w:type="spellStart"/>
      <w:r w:rsidR="008A6D03" w:rsidRPr="0089798C">
        <w:rPr>
          <w:rStyle w:val="Lienhypertexte"/>
          <w:rFonts w:ascii="Times New Roman" w:hAnsi="Times New Roman"/>
          <w:color w:val="auto"/>
          <w:u w:val="none"/>
        </w:rPr>
        <w:t>Market</w:t>
      </w:r>
      <w:proofErr w:type="spellEnd"/>
      <w:r w:rsidR="008A6D03" w:rsidRPr="0089798C">
        <w:rPr>
          <w:rStyle w:val="Lienhypertexte"/>
          <w:rFonts w:ascii="Times New Roman" w:hAnsi="Times New Roman"/>
          <w:color w:val="auto"/>
          <w:u w:val="none"/>
        </w:rPr>
        <w:t xml:space="preserve"> Mon</w:t>
      </w:r>
      <w:r w:rsidR="008D5FD9" w:rsidRPr="0089798C">
        <w:rPr>
          <w:rStyle w:val="Lienhypertexte"/>
          <w:rFonts w:ascii="Times New Roman" w:hAnsi="Times New Roman"/>
          <w:color w:val="auto"/>
          <w:u w:val="none"/>
        </w:rPr>
        <w:t xml:space="preserve">itor Construction Romania 2018, </w:t>
      </w:r>
      <w:r w:rsidR="008A6D03" w:rsidRPr="0089798C">
        <w:rPr>
          <w:rStyle w:val="Lienhypertexte"/>
          <w:rFonts w:ascii="Times New Roman" w:hAnsi="Times New Roman"/>
          <w:color w:val="auto"/>
          <w:u w:val="none"/>
        </w:rPr>
        <w:t>13th February 2018</w:t>
      </w:r>
      <w:r w:rsidR="00E56ED1" w:rsidRPr="0089798C">
        <w:rPr>
          <w:rStyle w:val="Lienhypertexte"/>
          <w:rFonts w:ascii="Times New Roman" w:hAnsi="Times New Roman"/>
          <w:color w:val="auto"/>
          <w:u w:val="none"/>
        </w:rPr>
        <w:t>)</w:t>
      </w:r>
    </w:p>
    <w:p w:rsidR="00506560" w:rsidRPr="0089798C" w:rsidRDefault="00506560"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The important cut in public spending on infrastructure projects over the last years has severely affected the quality of infrastructure, espe</w:t>
      </w:r>
      <w:r w:rsidRPr="0089798C">
        <w:rPr>
          <w:rStyle w:val="Lienhypertexte"/>
          <w:rFonts w:ascii="Times New Roman" w:hAnsi="Times New Roman"/>
          <w:color w:val="auto"/>
          <w:u w:val="none"/>
        </w:rPr>
        <w:softHyphen/>
        <w:t>cially roads and highways, and was coupled with poor absorption of EU funds and questionable public procurement transparency. However, considerable investments are planned through the General Master Plan for Transport, which details strategic interventions in transport infra</w:t>
      </w:r>
      <w:r w:rsidRPr="0089798C">
        <w:rPr>
          <w:rStyle w:val="Lienhypertexte"/>
          <w:rFonts w:ascii="Times New Roman" w:hAnsi="Times New Roman"/>
          <w:color w:val="auto"/>
          <w:u w:val="none"/>
        </w:rPr>
        <w:softHyphen/>
        <w:t>structure up until 2030, for a total value of EUR 43.5 billion (with EUR 27.1 billion for road and EUR 10.2 billion for railway projects). In addi</w:t>
      </w:r>
      <w:r w:rsidRPr="0089798C">
        <w:rPr>
          <w:rStyle w:val="Lienhypertexte"/>
          <w:rFonts w:ascii="Times New Roman" w:hAnsi="Times New Roman"/>
          <w:color w:val="auto"/>
          <w:u w:val="none"/>
        </w:rPr>
        <w:softHyphen/>
        <w:t>tion, Romania benefits from EUR 9.5 billion from the EU Regional Funds under the 2014</w:t>
      </w:r>
      <w:r w:rsidRPr="0089798C">
        <w:rPr>
          <w:rStyle w:val="Lienhypertexte"/>
          <w:rFonts w:ascii="Times New Roman" w:hAnsi="Times New Roman"/>
          <w:color w:val="auto"/>
          <w:u w:val="none"/>
        </w:rPr>
        <w:noBreakHyphen/>
        <w:t>2020 Large Infrastructure Operational Programme (LIOP), to be invested in transport, environment and energy projects.</w:t>
      </w:r>
      <w:r w:rsidR="00223CAD" w:rsidRPr="0089798C">
        <w:rPr>
          <w:rStyle w:val="Lienhypertexte"/>
          <w:rFonts w:ascii="Times New Roman" w:hAnsi="Times New Roman"/>
          <w:color w:val="auto"/>
          <w:u w:val="none"/>
        </w:rPr>
        <w:t xml:space="preserve"> On 1st January 2018, the national contract model for projects over € 5 million was approved, allowing the government to benefit from the support provided by the EIB.</w:t>
      </w:r>
    </w:p>
    <w:p w:rsidR="00E90A46" w:rsidRPr="0089798C" w:rsidRDefault="005078C4"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lastRenderedPageBreak/>
        <w:t>Infrastructure and residential construction are predicted to drive the revival of the Romanian construction sector in the future, with growth forecast at an annual rate of 2.0% in 2018, 3.8% in 2019 and 5.4% in 2020. However, improved absorption of EU funds, better project selec</w:t>
      </w:r>
      <w:r w:rsidRPr="0089798C">
        <w:rPr>
          <w:rStyle w:val="Lienhypertexte"/>
          <w:rFonts w:ascii="Times New Roman" w:hAnsi="Times New Roman"/>
          <w:color w:val="auto"/>
          <w:u w:val="none"/>
        </w:rPr>
        <w:softHyphen/>
        <w:t>tion and management and greater procurement transparency are essential to ensure the sustained expansion of the sector.</w:t>
      </w:r>
      <w:r w:rsidR="00E3157D" w:rsidRPr="0089798C">
        <w:rPr>
          <w:rStyle w:val="Lienhypertexte"/>
          <w:rFonts w:ascii="Times New Roman" w:hAnsi="Times New Roman"/>
          <w:color w:val="auto"/>
          <w:u w:val="none"/>
        </w:rPr>
        <w:t xml:space="preserve"> (</w:t>
      </w:r>
      <w:r w:rsidR="00506560" w:rsidRPr="0089798C">
        <w:rPr>
          <w:rStyle w:val="Lienhypertexte"/>
          <w:rFonts w:ascii="Times New Roman" w:hAnsi="Times New Roman"/>
          <w:color w:val="auto"/>
          <w:u w:val="none"/>
        </w:rPr>
        <w:t>Source: European Commission - European Construction Sector Observatory, Country profile Romania</w:t>
      </w:r>
      <w:r w:rsidR="00E3157D" w:rsidRPr="0089798C">
        <w:rPr>
          <w:rStyle w:val="Lienhypertexte"/>
          <w:rFonts w:ascii="Times New Roman" w:hAnsi="Times New Roman"/>
          <w:color w:val="auto"/>
          <w:u w:val="none"/>
        </w:rPr>
        <w:t xml:space="preserve">, </w:t>
      </w:r>
      <w:r w:rsidR="00506560" w:rsidRPr="0089798C">
        <w:rPr>
          <w:rStyle w:val="Lienhypertexte"/>
          <w:rFonts w:ascii="Times New Roman" w:hAnsi="Times New Roman"/>
          <w:color w:val="auto"/>
          <w:u w:val="none"/>
        </w:rPr>
        <w:t>June 2018</w:t>
      </w:r>
      <w:r w:rsidR="00E3157D" w:rsidRPr="0089798C">
        <w:rPr>
          <w:rStyle w:val="Lienhypertexte"/>
          <w:rFonts w:ascii="Times New Roman" w:hAnsi="Times New Roman"/>
          <w:color w:val="auto"/>
          <w:u w:val="none"/>
        </w:rPr>
        <w:t>)</w:t>
      </w:r>
    </w:p>
    <w:p w:rsidR="00AA53A9" w:rsidRPr="00EA0AF0" w:rsidRDefault="006A00D8" w:rsidP="0089798C">
      <w:pPr>
        <w:spacing w:after="0"/>
        <w:jc w:val="both"/>
        <w:rPr>
          <w:rFonts w:ascii="Times New Roman" w:eastAsia="MS Mincho" w:hAnsi="Times New Roman"/>
          <w:b/>
          <w:sz w:val="24"/>
          <w:szCs w:val="24"/>
          <w:lang w:val="en-US" w:eastAsia="fr-FR"/>
        </w:rPr>
      </w:pPr>
      <w:r w:rsidRPr="0089798C">
        <w:rPr>
          <w:rStyle w:val="Lienhypertexte"/>
          <w:rFonts w:ascii="Times New Roman" w:hAnsi="Times New Roman"/>
          <w:color w:val="auto"/>
          <w:u w:val="none"/>
        </w:rPr>
        <w:t>In 2018 we could witness a recovery of the construction sector. First quarter figures show an encouraging trend as interest in home buying is at the highest level in the last three years. In the context of economic growth, the demand for office space, housing and industrial buildings has increased considerably so that the market level could approach the threshold of 30 billion lei (EUR 6.7 billion).</w:t>
      </w:r>
      <w:r w:rsidRPr="0089798C">
        <w:rPr>
          <w:rStyle w:val="Lienhypertexte"/>
          <w:rFonts w:ascii="Times New Roman" w:hAnsi="Times New Roman"/>
          <w:color w:val="auto"/>
          <w:u w:val="none"/>
        </w:rPr>
        <w:br/>
        <w:t xml:space="preserve">Beyond the evolution of the residential segment, the first months of 2018 show an increase in the volume of civil engineering construction and non-residential construction of 34.3%; respectively 17.0%. This is another sign that the market is accelerating in this segment after relative stagnation over the last 2-3 years. Positive growth is attributed to investor confidence in the economy and increased demand in all segments of the </w:t>
      </w:r>
      <w:r w:rsidR="00223CAD" w:rsidRPr="0089798C">
        <w:rPr>
          <w:rStyle w:val="Lienhypertexte"/>
          <w:rFonts w:ascii="Times New Roman" w:hAnsi="Times New Roman"/>
          <w:color w:val="auto"/>
          <w:u w:val="none"/>
        </w:rPr>
        <w:t xml:space="preserve">market, from offices to homes. </w:t>
      </w:r>
      <w:r w:rsidRPr="0089798C">
        <w:rPr>
          <w:rStyle w:val="Lienhypertexte"/>
          <w:rFonts w:ascii="Times New Roman" w:hAnsi="Times New Roman"/>
          <w:color w:val="auto"/>
          <w:u w:val="none"/>
        </w:rPr>
        <w:t>Office buildings and industrial buildings tend to show a positive dynamic, accentuated by the expansion of investments by some of the major players in the market.</w:t>
      </w:r>
      <w:r w:rsidRPr="0089798C">
        <w:rPr>
          <w:rStyle w:val="Lienhypertexte"/>
          <w:rFonts w:ascii="Times New Roman" w:hAnsi="Times New Roman"/>
          <w:color w:val="auto"/>
          <w:u w:val="none"/>
        </w:rPr>
        <w:br/>
      </w:r>
      <w:r w:rsidRPr="00EA0AF0">
        <w:rPr>
          <w:rStyle w:val="Lienhypertexte"/>
          <w:rFonts w:ascii="Times New Roman" w:hAnsi="Times New Roman"/>
          <w:color w:val="00B050"/>
          <w:u w:val="none"/>
          <w:lang w:val="en-US"/>
        </w:rPr>
        <w:br/>
      </w:r>
      <w:r w:rsidR="00835B88" w:rsidRPr="00EA0AF0">
        <w:rPr>
          <w:rFonts w:ascii="Times New Roman" w:eastAsia="MS Mincho" w:hAnsi="Times New Roman"/>
          <w:b/>
          <w:sz w:val="24"/>
          <w:szCs w:val="24"/>
          <w:lang w:val="en-US" w:eastAsia="fr-FR"/>
        </w:rPr>
        <w:t xml:space="preserve">3. </w:t>
      </w:r>
      <w:r w:rsidR="00F26A77" w:rsidRPr="00EA0AF0">
        <w:rPr>
          <w:rFonts w:ascii="Times New Roman" w:eastAsia="MS Mincho" w:hAnsi="Times New Roman"/>
          <w:b/>
          <w:sz w:val="24"/>
          <w:szCs w:val="24"/>
          <w:lang w:val="en-US" w:eastAsia="fr-FR"/>
        </w:rPr>
        <w:t xml:space="preserve">The total </w:t>
      </w:r>
      <w:r w:rsidR="004E77FC" w:rsidRPr="00EA0AF0">
        <w:rPr>
          <w:rFonts w:ascii="Times New Roman" w:eastAsia="MS Mincho" w:hAnsi="Times New Roman"/>
          <w:b/>
          <w:sz w:val="24"/>
          <w:szCs w:val="24"/>
          <w:lang w:val="en-US" w:eastAsia="fr-FR"/>
        </w:rPr>
        <w:t>construction output of the Rom</w:t>
      </w:r>
      <w:r w:rsidR="00F26A77" w:rsidRPr="00EA0AF0">
        <w:rPr>
          <w:rFonts w:ascii="Times New Roman" w:eastAsia="MS Mincho" w:hAnsi="Times New Roman"/>
          <w:b/>
          <w:sz w:val="24"/>
          <w:szCs w:val="24"/>
          <w:lang w:val="en-US" w:eastAsia="fr-FR"/>
        </w:rPr>
        <w:t>a</w:t>
      </w:r>
      <w:r w:rsidR="004E77FC" w:rsidRPr="00EA0AF0">
        <w:rPr>
          <w:rFonts w:ascii="Times New Roman" w:eastAsia="MS Mincho" w:hAnsi="Times New Roman"/>
          <w:b/>
          <w:sz w:val="24"/>
          <w:szCs w:val="24"/>
          <w:lang w:val="en-US" w:eastAsia="fr-FR"/>
        </w:rPr>
        <w:t>n</w:t>
      </w:r>
      <w:r w:rsidR="00F26A77" w:rsidRPr="00EA0AF0">
        <w:rPr>
          <w:rFonts w:ascii="Times New Roman" w:eastAsia="MS Mincho" w:hAnsi="Times New Roman"/>
          <w:b/>
          <w:sz w:val="24"/>
          <w:szCs w:val="24"/>
          <w:lang w:val="en-US" w:eastAsia="fr-FR"/>
        </w:rPr>
        <w:t>ian construction market</w:t>
      </w:r>
    </w:p>
    <w:p w:rsidR="00835B88" w:rsidRPr="00EA0AF0" w:rsidRDefault="00835B88" w:rsidP="00835B88">
      <w:pPr>
        <w:spacing w:after="0"/>
        <w:jc w:val="both"/>
        <w:rPr>
          <w:rFonts w:ascii="Times New Roman" w:eastAsia="MS Mincho" w:hAnsi="Times New Roman"/>
          <w:sz w:val="28"/>
          <w:szCs w:val="28"/>
          <w:lang w:val="en-US" w:eastAsia="fr-FR"/>
        </w:rPr>
      </w:pPr>
    </w:p>
    <w:p w:rsidR="002736E1" w:rsidRPr="0089798C" w:rsidRDefault="002736E1"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Investor interest in Romania has strengthened thanks to the robust economic growth in 2017. There were some notable entries via transactions: </w:t>
      </w:r>
      <w:proofErr w:type="spellStart"/>
      <w:r w:rsidRPr="0089798C">
        <w:rPr>
          <w:rStyle w:val="Lienhypertexte"/>
          <w:rFonts w:ascii="Times New Roman" w:hAnsi="Times New Roman"/>
          <w:color w:val="auto"/>
          <w:u w:val="none"/>
        </w:rPr>
        <w:t>Atterbury</w:t>
      </w:r>
      <w:proofErr w:type="spellEnd"/>
      <w:r w:rsidRPr="0089798C">
        <w:rPr>
          <w:rStyle w:val="Lienhypertexte"/>
          <w:rFonts w:ascii="Times New Roman" w:hAnsi="Times New Roman"/>
          <w:color w:val="auto"/>
          <w:u w:val="none"/>
        </w:rPr>
        <w:t xml:space="preserve"> Europe, </w:t>
      </w:r>
      <w:proofErr w:type="spellStart"/>
      <w:r w:rsidRPr="0089798C">
        <w:rPr>
          <w:rStyle w:val="Lienhypertexte"/>
          <w:rFonts w:ascii="Times New Roman" w:hAnsi="Times New Roman"/>
          <w:color w:val="auto"/>
          <w:u w:val="none"/>
        </w:rPr>
        <w:t>Cerberus</w:t>
      </w:r>
      <w:proofErr w:type="spellEnd"/>
      <w:r w:rsidRPr="0089798C">
        <w:rPr>
          <w:rStyle w:val="Lienhypertexte"/>
          <w:rFonts w:ascii="Times New Roman" w:hAnsi="Times New Roman"/>
          <w:color w:val="auto"/>
          <w:u w:val="none"/>
        </w:rPr>
        <w:t xml:space="preserve"> Capital Management and China Investment Corporation, with the latter part of a large transnational deal (the biggest private equity real estate deal in Europe). Both recently active investors and those that remained passive in recent years have shown interest in snatching up new </w:t>
      </w:r>
      <w:proofErr w:type="spellStart"/>
      <w:r w:rsidRPr="0089798C">
        <w:rPr>
          <w:rStyle w:val="Lienhypertexte"/>
          <w:rFonts w:ascii="Times New Roman" w:hAnsi="Times New Roman"/>
          <w:color w:val="auto"/>
          <w:u w:val="none"/>
        </w:rPr>
        <w:t>assets</w:t>
      </w:r>
      <w:proofErr w:type="spellEnd"/>
      <w:r w:rsidRPr="0089798C">
        <w:rPr>
          <w:rStyle w:val="Lienhypertexte"/>
          <w:rFonts w:ascii="Times New Roman" w:hAnsi="Times New Roman"/>
          <w:color w:val="auto"/>
          <w:u w:val="none"/>
        </w:rPr>
        <w:t xml:space="preserve"> (CTP, </w:t>
      </w:r>
      <w:proofErr w:type="spellStart"/>
      <w:r w:rsidRPr="0089798C">
        <w:rPr>
          <w:rStyle w:val="Lienhypertexte"/>
          <w:rFonts w:ascii="Times New Roman" w:hAnsi="Times New Roman"/>
          <w:color w:val="auto"/>
          <w:u w:val="none"/>
        </w:rPr>
        <w:t>Smartown</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Investments</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Globalworth</w:t>
      </w:r>
      <w:proofErr w:type="spellEnd"/>
      <w:r w:rsidRPr="0089798C">
        <w:rPr>
          <w:rStyle w:val="Lienhypertexte"/>
          <w:rFonts w:ascii="Times New Roman" w:hAnsi="Times New Roman"/>
          <w:color w:val="auto"/>
          <w:u w:val="none"/>
        </w:rPr>
        <w:t xml:space="preserve">, GTC, </w:t>
      </w:r>
      <w:proofErr w:type="spellStart"/>
      <w:r w:rsidRPr="0089798C">
        <w:rPr>
          <w:rStyle w:val="Lienhypertexte"/>
          <w:rFonts w:ascii="Times New Roman" w:hAnsi="Times New Roman"/>
          <w:color w:val="auto"/>
          <w:u w:val="none"/>
        </w:rPr>
        <w:t>Mitiska</w:t>
      </w:r>
      <w:proofErr w:type="spellEnd"/>
      <w:r w:rsidRPr="0089798C">
        <w:rPr>
          <w:rStyle w:val="Lienhypertexte"/>
          <w:rFonts w:ascii="Times New Roman" w:hAnsi="Times New Roman"/>
          <w:color w:val="auto"/>
          <w:u w:val="none"/>
        </w:rPr>
        <w:t>).</w:t>
      </w:r>
    </w:p>
    <w:p w:rsidR="001F027C" w:rsidRPr="0089798C" w:rsidRDefault="001F027C"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The total value of land transactions for real estate projects (excluding the industrial segment) increased significantly from 2016, exceeding the EUR 350mn threshold at national level. About two thirds of this value were ascribed to the Capital, where land transactions for residential development represented more than half of the investment volume, while the rest was almost equally split between retail and office.</w:t>
      </w:r>
    </w:p>
    <w:p w:rsidR="001F027C" w:rsidRPr="0089798C" w:rsidRDefault="001F027C"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2018 will be at least as dynamic as the previous year, with many transactions under negotiation. Developers will also head to major regional cities for office and residential </w:t>
      </w:r>
      <w:r w:rsidR="00E32D5C" w:rsidRPr="0089798C">
        <w:rPr>
          <w:rStyle w:val="Lienhypertexte"/>
          <w:rFonts w:ascii="Times New Roman" w:hAnsi="Times New Roman"/>
          <w:color w:val="auto"/>
          <w:u w:val="none"/>
        </w:rPr>
        <w:t>developments</w:t>
      </w:r>
      <w:r w:rsidRPr="0089798C">
        <w:rPr>
          <w:rStyle w:val="Lienhypertexte"/>
          <w:rFonts w:ascii="Times New Roman" w:hAnsi="Times New Roman"/>
          <w:color w:val="auto"/>
          <w:u w:val="none"/>
        </w:rPr>
        <w:t xml:space="preserve"> due to increased interest from tenants/buyers, but also to smaller towns with a population of less than 100,000 inhabitants, which have a shortage of modern retail schemes.</w:t>
      </w:r>
    </w:p>
    <w:p w:rsidR="001F027C" w:rsidRPr="0089798C" w:rsidRDefault="001F027C"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The total volume of investment for 2018 is forecasted to exceed the EUR 1bn threshold and the yield for retail, office and industrial projects could see a 25-50 basis points compression.</w:t>
      </w:r>
      <w:r w:rsidR="00845E08"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Source</w:t>
      </w:r>
      <w:r w:rsidR="00002A4F"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Colliers International Romania Research and Forecast Report 2018</w:t>
      </w:r>
      <w:r w:rsidR="00845E08" w:rsidRPr="0089798C">
        <w:rPr>
          <w:rStyle w:val="Lienhypertexte"/>
          <w:rFonts w:ascii="Times New Roman" w:hAnsi="Times New Roman"/>
          <w:color w:val="auto"/>
          <w:u w:val="none"/>
        </w:rPr>
        <w:t>)</w:t>
      </w:r>
    </w:p>
    <w:p w:rsidR="001F027C" w:rsidRPr="00EA0AF0" w:rsidRDefault="001F027C" w:rsidP="00604F56">
      <w:pPr>
        <w:spacing w:line="240" w:lineRule="auto"/>
        <w:jc w:val="both"/>
        <w:rPr>
          <w:rStyle w:val="Lienhypertexte"/>
          <w:rFonts w:ascii="Times New Roman" w:hAnsi="Times New Roman"/>
          <w:b/>
          <w:color w:val="auto"/>
          <w:u w:val="none"/>
          <w:lang w:val="en-US"/>
        </w:rPr>
      </w:pPr>
    </w:p>
    <w:p w:rsidR="00F26A77" w:rsidRPr="00EA0AF0" w:rsidRDefault="00D71364" w:rsidP="0051273A">
      <w:pPr>
        <w:spacing w:line="240" w:lineRule="auto"/>
        <w:jc w:val="both"/>
        <w:rPr>
          <w:rStyle w:val="Lienhypertexte"/>
          <w:rFonts w:ascii="Times New Roman" w:hAnsi="Times New Roman"/>
          <w:b/>
          <w:color w:val="auto"/>
          <w:sz w:val="24"/>
          <w:szCs w:val="24"/>
          <w:u w:val="none"/>
          <w:lang w:val="en-US"/>
        </w:rPr>
      </w:pPr>
      <w:r>
        <w:rPr>
          <w:rStyle w:val="Lienhypertexte"/>
          <w:rFonts w:ascii="Times New Roman" w:hAnsi="Times New Roman"/>
          <w:b/>
          <w:color w:val="auto"/>
          <w:sz w:val="24"/>
          <w:szCs w:val="24"/>
          <w:u w:val="none"/>
          <w:lang w:val="en-US"/>
        </w:rPr>
        <w:t>3.1</w:t>
      </w:r>
      <w:r w:rsidR="00954D9F">
        <w:rPr>
          <w:rStyle w:val="Lienhypertexte"/>
          <w:rFonts w:ascii="Times New Roman" w:hAnsi="Times New Roman"/>
          <w:b/>
          <w:color w:val="auto"/>
          <w:sz w:val="24"/>
          <w:szCs w:val="24"/>
          <w:u w:val="none"/>
          <w:lang w:val="en-US"/>
        </w:rPr>
        <w:t>.</w:t>
      </w:r>
      <w:r>
        <w:rPr>
          <w:rStyle w:val="Lienhypertexte"/>
          <w:rFonts w:ascii="Times New Roman" w:hAnsi="Times New Roman"/>
          <w:b/>
          <w:color w:val="auto"/>
          <w:sz w:val="24"/>
          <w:szCs w:val="24"/>
          <w:u w:val="none"/>
          <w:lang w:val="en-US"/>
        </w:rPr>
        <w:t xml:space="preserve"> </w:t>
      </w:r>
      <w:r w:rsidR="00F26A77" w:rsidRPr="00EA0AF0">
        <w:rPr>
          <w:rStyle w:val="Lienhypertexte"/>
          <w:rFonts w:ascii="Times New Roman" w:hAnsi="Times New Roman"/>
          <w:b/>
          <w:color w:val="auto"/>
          <w:sz w:val="24"/>
          <w:szCs w:val="24"/>
          <w:u w:val="none"/>
          <w:lang w:val="en-US"/>
        </w:rPr>
        <w:t>Residential construction</w:t>
      </w:r>
      <w:r w:rsidR="00340240" w:rsidRPr="00EA0AF0">
        <w:rPr>
          <w:rStyle w:val="Lienhypertexte"/>
          <w:rFonts w:ascii="Times New Roman" w:hAnsi="Times New Roman"/>
          <w:b/>
          <w:color w:val="auto"/>
          <w:sz w:val="24"/>
          <w:szCs w:val="24"/>
          <w:u w:val="none"/>
          <w:lang w:val="en-US"/>
        </w:rPr>
        <w:t>s</w:t>
      </w:r>
      <w:r w:rsidR="00D4234B" w:rsidRPr="00EA0AF0">
        <w:rPr>
          <w:rStyle w:val="Lienhypertexte"/>
          <w:rFonts w:ascii="Times New Roman" w:hAnsi="Times New Roman"/>
          <w:b/>
          <w:color w:val="auto"/>
          <w:sz w:val="24"/>
          <w:szCs w:val="24"/>
          <w:u w:val="none"/>
          <w:lang w:val="en-US"/>
        </w:rPr>
        <w:t xml:space="preserve"> </w:t>
      </w:r>
    </w:p>
    <w:p w:rsidR="00A6624E" w:rsidRPr="0089798C" w:rsidRDefault="00002A4F" w:rsidP="0089798C">
      <w:pPr>
        <w:spacing w:after="0"/>
        <w:jc w:val="both"/>
        <w:rPr>
          <w:rStyle w:val="Lienhypertexte"/>
          <w:rFonts w:ascii="Times New Roman" w:hAnsi="Times New Roman"/>
          <w:color w:val="auto"/>
          <w:u w:val="none"/>
        </w:rPr>
      </w:pPr>
      <w:r w:rsidRPr="00954D9F">
        <w:rPr>
          <w:rStyle w:val="Lienhypertexte"/>
          <w:rFonts w:ascii="Times New Roman" w:hAnsi="Times New Roman"/>
          <w:color w:val="auto"/>
          <w:u w:val="none"/>
          <w:lang w:val="en-US"/>
        </w:rPr>
        <w:t>Residential construction and the housing market suffered following the crisis, with house prices decreasing by 18.7% between 20</w:t>
      </w:r>
      <w:r w:rsidRPr="0089798C">
        <w:rPr>
          <w:rStyle w:val="Lienhypertexte"/>
          <w:rFonts w:ascii="Times New Roman" w:hAnsi="Times New Roman"/>
          <w:color w:val="auto"/>
          <w:u w:val="none"/>
        </w:rPr>
        <w:t xml:space="preserve">10 and 2014, but subsequently picking up by 9.0% until 2016. The number of issued residential building permits fell significantly in the aftermath of the crisis but is recovering and has reached </w:t>
      </w:r>
      <w:r w:rsidR="00A6624E" w:rsidRPr="0089798C">
        <w:rPr>
          <w:rStyle w:val="Lienhypertexte"/>
          <w:rFonts w:ascii="Times New Roman" w:hAnsi="Times New Roman"/>
          <w:color w:val="auto"/>
          <w:u w:val="none"/>
        </w:rPr>
        <w:t>41,603 building permits issued for residential buildings in 2017.</w:t>
      </w:r>
      <w:r w:rsidRPr="0089798C">
        <w:rPr>
          <w:rStyle w:val="Lienhypertexte"/>
          <w:rFonts w:ascii="Times New Roman" w:hAnsi="Times New Roman"/>
          <w:color w:val="auto"/>
          <w:u w:val="none"/>
        </w:rPr>
        <w:t xml:space="preserve"> </w:t>
      </w:r>
      <w:r w:rsidR="00A6624E" w:rsidRPr="0089798C">
        <w:rPr>
          <w:rStyle w:val="Lienhypertexte"/>
          <w:rFonts w:ascii="Times New Roman" w:hAnsi="Times New Roman"/>
          <w:color w:val="auto"/>
          <w:u w:val="none"/>
        </w:rPr>
        <w:t xml:space="preserve">53,301 housing units have been completed, 1,095 more than in 2016. </w:t>
      </w:r>
    </w:p>
    <w:p w:rsidR="00C24886" w:rsidRPr="0089798C" w:rsidRDefault="00002A4F"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Moreover, despite having the highest homeownership rate, Romania reports an above average housing cost overburden rate, highlighting housing affordability issues, as well as the highest overcrowding and severe housing deprivation rates in the EU, underscoring poor housing conditions. To address these issues whilst stimulating residential construction, the government introduced several schemes, such as the First Home Programme with a budget of RON 2 billion (EUR 428.8 million) for 2018, which provides state guarantees </w:t>
      </w:r>
      <w:r w:rsidRPr="0089798C">
        <w:rPr>
          <w:rStyle w:val="Lienhypertexte"/>
          <w:rFonts w:ascii="Times New Roman" w:hAnsi="Times New Roman"/>
          <w:color w:val="auto"/>
          <w:u w:val="none"/>
        </w:rPr>
        <w:lastRenderedPageBreak/>
        <w:t xml:space="preserve">of up to 50% of the value of the mortgage. Furthermore, the National Housing Agency implements </w:t>
      </w:r>
      <w:proofErr w:type="spellStart"/>
      <w:r w:rsidRPr="0089798C">
        <w:rPr>
          <w:rStyle w:val="Lienhypertexte"/>
          <w:rFonts w:ascii="Times New Roman" w:hAnsi="Times New Roman"/>
          <w:color w:val="auto"/>
          <w:u w:val="none"/>
        </w:rPr>
        <w:t>several</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affordable</w:t>
      </w:r>
      <w:proofErr w:type="spellEnd"/>
      <w:r w:rsidRPr="0089798C">
        <w:rPr>
          <w:rStyle w:val="Lienhypertexte"/>
          <w:rFonts w:ascii="Times New Roman" w:hAnsi="Times New Roman"/>
          <w:color w:val="auto"/>
          <w:u w:val="none"/>
        </w:rPr>
        <w:t xml:space="preserve"> home programmes, </w:t>
      </w:r>
      <w:proofErr w:type="spellStart"/>
      <w:r w:rsidRPr="0089798C">
        <w:rPr>
          <w:rStyle w:val="Lienhypertexte"/>
          <w:rFonts w:ascii="Times New Roman" w:hAnsi="Times New Roman"/>
          <w:color w:val="auto"/>
          <w:u w:val="none"/>
        </w:rPr>
        <w:t>including</w:t>
      </w:r>
      <w:proofErr w:type="spellEnd"/>
      <w:r w:rsidRPr="0089798C">
        <w:rPr>
          <w:rStyle w:val="Lienhypertexte"/>
          <w:rFonts w:ascii="Times New Roman" w:hAnsi="Times New Roman"/>
          <w:color w:val="auto"/>
          <w:u w:val="none"/>
        </w:rPr>
        <w:t xml:space="preserve"> the </w:t>
      </w:r>
      <w:proofErr w:type="spellStart"/>
      <w:r w:rsidRPr="0089798C">
        <w:rPr>
          <w:rStyle w:val="Lienhypertexte"/>
          <w:rFonts w:ascii="Times New Roman" w:hAnsi="Times New Roman"/>
          <w:color w:val="auto"/>
          <w:u w:val="none"/>
        </w:rPr>
        <w:t>Rental</w:t>
      </w:r>
      <w:proofErr w:type="spellEnd"/>
      <w:r w:rsidRPr="0089798C">
        <w:rPr>
          <w:rStyle w:val="Lienhypertexte"/>
          <w:rFonts w:ascii="Times New Roman" w:hAnsi="Times New Roman"/>
          <w:color w:val="auto"/>
          <w:u w:val="none"/>
        </w:rPr>
        <w:t xml:space="preserve"> Housing Units for Young People and the Mortgage-financed Dwellings Programme.</w:t>
      </w:r>
      <w:r w:rsidR="009D6F9E" w:rsidRPr="0089798C">
        <w:rPr>
          <w:rStyle w:val="Lienhypertexte"/>
          <w:rFonts w:ascii="Times New Roman" w:hAnsi="Times New Roman"/>
          <w:color w:val="auto"/>
          <w:u w:val="none"/>
        </w:rPr>
        <w:t xml:space="preserve"> </w:t>
      </w:r>
      <w:r w:rsidR="0093612B" w:rsidRPr="0089798C">
        <w:rPr>
          <w:rStyle w:val="Lienhypertexte"/>
          <w:rFonts w:ascii="Times New Roman" w:hAnsi="Times New Roman"/>
          <w:color w:val="auto"/>
          <w:u w:val="none"/>
        </w:rPr>
        <w:t>(</w:t>
      </w:r>
      <w:r w:rsidR="00C24886" w:rsidRPr="0089798C">
        <w:rPr>
          <w:rStyle w:val="Lienhypertexte"/>
          <w:rFonts w:ascii="Times New Roman" w:hAnsi="Times New Roman"/>
          <w:color w:val="auto"/>
          <w:u w:val="none"/>
        </w:rPr>
        <w:t>Source: European Commission -</w:t>
      </w:r>
      <w:r w:rsidR="00C24886" w:rsidRPr="0089798C">
        <w:rPr>
          <w:rStyle w:val="Lienhypertexte"/>
          <w:color w:val="auto"/>
          <w:u w:val="none"/>
        </w:rPr>
        <w:t xml:space="preserve"> </w:t>
      </w:r>
      <w:r w:rsidR="00C24886" w:rsidRPr="0089798C">
        <w:rPr>
          <w:rStyle w:val="Lienhypertexte"/>
          <w:rFonts w:ascii="Times New Roman" w:hAnsi="Times New Roman"/>
          <w:color w:val="auto"/>
          <w:u w:val="none"/>
        </w:rPr>
        <w:t>European Construction Sector Observatory, Country profile Romania</w:t>
      </w:r>
      <w:r w:rsidR="0093612B" w:rsidRPr="0089798C">
        <w:rPr>
          <w:rStyle w:val="Lienhypertexte"/>
          <w:rFonts w:ascii="Times New Roman" w:hAnsi="Times New Roman"/>
          <w:color w:val="auto"/>
          <w:u w:val="none"/>
        </w:rPr>
        <w:t xml:space="preserve">, </w:t>
      </w:r>
      <w:r w:rsidR="00C24886" w:rsidRPr="0089798C">
        <w:rPr>
          <w:rStyle w:val="Lienhypertexte"/>
          <w:rFonts w:ascii="Times New Roman" w:hAnsi="Times New Roman"/>
          <w:color w:val="auto"/>
          <w:u w:val="none"/>
        </w:rPr>
        <w:t>June 2018</w:t>
      </w:r>
      <w:r w:rsidR="0093612B" w:rsidRPr="0089798C">
        <w:rPr>
          <w:rStyle w:val="Lienhypertexte"/>
          <w:rFonts w:ascii="Times New Roman" w:hAnsi="Times New Roman"/>
          <w:color w:val="auto"/>
          <w:u w:val="none"/>
        </w:rPr>
        <w:t>)</w:t>
      </w:r>
    </w:p>
    <w:p w:rsidR="00C24886" w:rsidRPr="0089798C" w:rsidRDefault="004E77FC"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Given the higher wages and elevated intentions to purchase homes, </w:t>
      </w:r>
      <w:r w:rsidR="00D4234B" w:rsidRPr="0089798C">
        <w:rPr>
          <w:rStyle w:val="Lienhypertexte"/>
          <w:rFonts w:ascii="Times New Roman" w:hAnsi="Times New Roman"/>
          <w:color w:val="auto"/>
          <w:u w:val="none"/>
        </w:rPr>
        <w:t xml:space="preserve">the housebuilding segment will be one of the main drivers of the recovery of the Romanian construction sector. New office projects will draw demand for residential projects in neighboring areas. </w:t>
      </w:r>
      <w:r w:rsidR="00E3157D" w:rsidRPr="0089798C">
        <w:rPr>
          <w:rStyle w:val="Lienhypertexte"/>
          <w:rFonts w:ascii="Times New Roman" w:hAnsi="Times New Roman"/>
          <w:color w:val="auto"/>
          <w:u w:val="none"/>
        </w:rPr>
        <w:t xml:space="preserve">It is estimated that the number of new homes completed will exceed 65,000 units. </w:t>
      </w:r>
      <w:r w:rsidR="00D4234B" w:rsidRPr="0089798C">
        <w:rPr>
          <w:rStyle w:val="Lienhypertexte"/>
          <w:rFonts w:ascii="Times New Roman" w:hAnsi="Times New Roman"/>
          <w:color w:val="auto"/>
          <w:u w:val="none"/>
        </w:rPr>
        <w:t>Resi</w:t>
      </w:r>
      <w:r w:rsidR="00D4234B" w:rsidRPr="0089798C">
        <w:rPr>
          <w:rStyle w:val="Lienhypertexte"/>
          <w:rFonts w:ascii="Times New Roman" w:hAnsi="Times New Roman"/>
          <w:color w:val="auto"/>
          <w:u w:val="none"/>
        </w:rPr>
        <w:softHyphen/>
        <w:t xml:space="preserve">dential construction is expected to grow at an average rate of 4.9% until 2020. </w:t>
      </w:r>
      <w:r w:rsidR="0093612B" w:rsidRPr="0089798C">
        <w:rPr>
          <w:rStyle w:val="Lienhypertexte"/>
          <w:rFonts w:ascii="Times New Roman" w:hAnsi="Times New Roman"/>
          <w:color w:val="auto"/>
          <w:u w:val="none"/>
        </w:rPr>
        <w:t>(</w:t>
      </w:r>
      <w:r w:rsidR="00C24886" w:rsidRPr="0089798C">
        <w:rPr>
          <w:rStyle w:val="Lienhypertexte"/>
          <w:rFonts w:ascii="Times New Roman" w:hAnsi="Times New Roman"/>
          <w:color w:val="auto"/>
          <w:u w:val="none"/>
        </w:rPr>
        <w:t>Source: European Commission -</w:t>
      </w:r>
      <w:r w:rsidR="00C24886" w:rsidRPr="0089798C">
        <w:rPr>
          <w:rStyle w:val="Lienhypertexte"/>
          <w:color w:val="auto"/>
          <w:u w:val="none"/>
        </w:rPr>
        <w:t xml:space="preserve"> </w:t>
      </w:r>
      <w:r w:rsidR="00C24886" w:rsidRPr="0089798C">
        <w:rPr>
          <w:rStyle w:val="Lienhypertexte"/>
          <w:rFonts w:ascii="Times New Roman" w:hAnsi="Times New Roman"/>
          <w:color w:val="auto"/>
          <w:u w:val="none"/>
        </w:rPr>
        <w:t>European Construction Sector Observatory, Country profile Romania</w:t>
      </w:r>
      <w:r w:rsidR="0093612B" w:rsidRPr="0089798C">
        <w:rPr>
          <w:rStyle w:val="Lienhypertexte"/>
          <w:rFonts w:ascii="Times New Roman" w:hAnsi="Times New Roman"/>
          <w:color w:val="auto"/>
          <w:u w:val="none"/>
        </w:rPr>
        <w:t xml:space="preserve">, </w:t>
      </w:r>
      <w:r w:rsidR="00C24886" w:rsidRPr="0089798C">
        <w:rPr>
          <w:rStyle w:val="Lienhypertexte"/>
          <w:rFonts w:ascii="Times New Roman" w:hAnsi="Times New Roman"/>
          <w:color w:val="auto"/>
          <w:u w:val="none"/>
        </w:rPr>
        <w:t>June 2018</w:t>
      </w:r>
      <w:r w:rsidR="0093612B" w:rsidRPr="0089798C">
        <w:rPr>
          <w:rStyle w:val="Lienhypertexte"/>
          <w:rFonts w:ascii="Times New Roman" w:hAnsi="Times New Roman"/>
          <w:color w:val="auto"/>
          <w:u w:val="none"/>
        </w:rPr>
        <w:t>)</w:t>
      </w:r>
    </w:p>
    <w:p w:rsidR="00C24886" w:rsidRPr="00EA0AF0" w:rsidRDefault="00C24886" w:rsidP="00C24886">
      <w:pPr>
        <w:autoSpaceDE w:val="0"/>
        <w:autoSpaceDN w:val="0"/>
        <w:adjustRightInd w:val="0"/>
        <w:spacing w:after="0" w:line="240" w:lineRule="auto"/>
        <w:rPr>
          <w:rStyle w:val="Lienhypertexte"/>
          <w:rFonts w:ascii="Times New Roman" w:hAnsi="Times New Roman"/>
          <w:color w:val="00B050"/>
          <w:u w:val="none"/>
          <w:lang w:val="en-US"/>
        </w:rPr>
      </w:pPr>
    </w:p>
    <w:p w:rsidR="00F26A77" w:rsidRPr="00EA0AF0" w:rsidRDefault="00D71364" w:rsidP="0051273A">
      <w:pPr>
        <w:spacing w:line="240" w:lineRule="auto"/>
        <w:jc w:val="both"/>
        <w:rPr>
          <w:rStyle w:val="Lienhypertexte"/>
          <w:rFonts w:ascii="Times New Roman" w:hAnsi="Times New Roman"/>
          <w:b/>
          <w:color w:val="auto"/>
          <w:sz w:val="24"/>
          <w:szCs w:val="24"/>
          <w:u w:val="none"/>
          <w:lang w:val="en-US"/>
        </w:rPr>
      </w:pPr>
      <w:r>
        <w:rPr>
          <w:rStyle w:val="Lienhypertexte"/>
          <w:rFonts w:ascii="Times New Roman" w:hAnsi="Times New Roman"/>
          <w:b/>
          <w:color w:val="auto"/>
          <w:sz w:val="24"/>
          <w:szCs w:val="24"/>
          <w:u w:val="none"/>
          <w:lang w:val="en-US"/>
        </w:rPr>
        <w:t>3.2</w:t>
      </w:r>
      <w:r w:rsidR="00954D9F">
        <w:rPr>
          <w:rStyle w:val="Lienhypertexte"/>
          <w:rFonts w:ascii="Times New Roman" w:hAnsi="Times New Roman"/>
          <w:b/>
          <w:color w:val="auto"/>
          <w:sz w:val="24"/>
          <w:szCs w:val="24"/>
          <w:u w:val="none"/>
          <w:lang w:val="en-US"/>
        </w:rPr>
        <w:t>.</w:t>
      </w:r>
      <w:r>
        <w:rPr>
          <w:rStyle w:val="Lienhypertexte"/>
          <w:rFonts w:ascii="Times New Roman" w:hAnsi="Times New Roman"/>
          <w:b/>
          <w:color w:val="auto"/>
          <w:sz w:val="24"/>
          <w:szCs w:val="24"/>
          <w:u w:val="none"/>
          <w:lang w:val="en-US"/>
        </w:rPr>
        <w:t xml:space="preserve"> </w:t>
      </w:r>
      <w:r w:rsidR="00F26A77" w:rsidRPr="00EA0AF0">
        <w:rPr>
          <w:rStyle w:val="Lienhypertexte"/>
          <w:rFonts w:ascii="Times New Roman" w:hAnsi="Times New Roman"/>
          <w:b/>
          <w:color w:val="auto"/>
          <w:sz w:val="24"/>
          <w:szCs w:val="24"/>
          <w:u w:val="none"/>
          <w:lang w:val="en-US"/>
        </w:rPr>
        <w:t>Non-residential construction</w:t>
      </w:r>
      <w:r w:rsidR="005D34EA" w:rsidRPr="00EA0AF0">
        <w:rPr>
          <w:rStyle w:val="Lienhypertexte"/>
          <w:rFonts w:ascii="Times New Roman" w:hAnsi="Times New Roman"/>
          <w:b/>
          <w:color w:val="auto"/>
          <w:sz w:val="24"/>
          <w:szCs w:val="24"/>
          <w:u w:val="none"/>
          <w:lang w:val="en-US"/>
        </w:rPr>
        <w:t>s</w:t>
      </w:r>
      <w:r w:rsidR="00681339" w:rsidRPr="00EA0AF0">
        <w:rPr>
          <w:rStyle w:val="Lienhypertexte"/>
          <w:rFonts w:ascii="Times New Roman" w:hAnsi="Times New Roman"/>
          <w:b/>
          <w:color w:val="auto"/>
          <w:sz w:val="24"/>
          <w:szCs w:val="24"/>
          <w:u w:val="none"/>
          <w:lang w:val="en-US"/>
        </w:rPr>
        <w:t xml:space="preserve"> </w:t>
      </w:r>
    </w:p>
    <w:p w:rsidR="00853008" w:rsidRPr="0089798C" w:rsidRDefault="005A7EA7" w:rsidP="0089798C">
      <w:pPr>
        <w:spacing w:after="0"/>
        <w:jc w:val="both"/>
        <w:rPr>
          <w:rStyle w:val="Lienhypertexte"/>
          <w:rFonts w:ascii="Times New Roman" w:hAnsi="Times New Roman"/>
          <w:color w:val="auto"/>
          <w:u w:val="none"/>
        </w:rPr>
      </w:pPr>
      <w:r w:rsidRPr="00954D9F">
        <w:rPr>
          <w:rStyle w:val="Lienhypertexte"/>
          <w:rFonts w:ascii="Times New Roman" w:hAnsi="Times New Roman"/>
          <w:color w:val="auto"/>
          <w:u w:val="none"/>
          <w:lang w:val="en-US"/>
        </w:rPr>
        <w:t xml:space="preserve">The non-residential sector experienced a promising growth in 2016, with 956,000 m2 of retail, logistic and office spaces being </w:t>
      </w:r>
      <w:proofErr w:type="spellStart"/>
      <w:r w:rsidRPr="0089798C">
        <w:rPr>
          <w:rStyle w:val="Lienhypertexte"/>
          <w:rFonts w:ascii="Times New Roman" w:hAnsi="Times New Roman"/>
          <w:color w:val="auto"/>
          <w:u w:val="none"/>
        </w:rPr>
        <w:t>completed</w:t>
      </w:r>
      <w:proofErr w:type="spellEnd"/>
      <w:r w:rsidRPr="0089798C">
        <w:rPr>
          <w:rStyle w:val="Lienhypertexte"/>
          <w:rFonts w:ascii="Times New Roman" w:hAnsi="Times New Roman"/>
          <w:color w:val="auto"/>
          <w:u w:val="none"/>
        </w:rPr>
        <w:t xml:space="preserve"> and </w:t>
      </w:r>
      <w:proofErr w:type="spellStart"/>
      <w:r w:rsidRPr="0089798C">
        <w:rPr>
          <w:rStyle w:val="Lienhypertexte"/>
          <w:rFonts w:ascii="Times New Roman" w:hAnsi="Times New Roman"/>
          <w:color w:val="auto"/>
          <w:u w:val="none"/>
        </w:rPr>
        <w:t>delivered</w:t>
      </w:r>
      <w:proofErr w:type="spellEnd"/>
      <w:r w:rsidRPr="0089798C">
        <w:rPr>
          <w:rStyle w:val="Lienhypertexte"/>
          <w:rFonts w:ascii="Times New Roman" w:hAnsi="Times New Roman"/>
          <w:color w:val="auto"/>
          <w:u w:val="none"/>
        </w:rPr>
        <w:t xml:space="preserve">, an 88% </w:t>
      </w:r>
      <w:proofErr w:type="spellStart"/>
      <w:r w:rsidRPr="0089798C">
        <w:rPr>
          <w:rStyle w:val="Lienhypertexte"/>
          <w:rFonts w:ascii="Times New Roman" w:hAnsi="Times New Roman"/>
          <w:color w:val="auto"/>
          <w:u w:val="none"/>
        </w:rPr>
        <w:t>increase</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compared</w:t>
      </w:r>
      <w:proofErr w:type="spellEnd"/>
      <w:r w:rsidRPr="0089798C">
        <w:rPr>
          <w:rStyle w:val="Lienhypertexte"/>
          <w:rFonts w:ascii="Times New Roman" w:hAnsi="Times New Roman"/>
          <w:color w:val="auto"/>
          <w:u w:val="none"/>
        </w:rPr>
        <w:t xml:space="preserve"> to 2015. This rapid pace of development continued during 2017 </w:t>
      </w:r>
      <w:r w:rsidR="00B33C89" w:rsidRPr="0089798C">
        <w:rPr>
          <w:rStyle w:val="Lienhypertexte"/>
          <w:rFonts w:ascii="Times New Roman" w:hAnsi="Times New Roman"/>
          <w:color w:val="auto"/>
          <w:u w:val="none"/>
        </w:rPr>
        <w:t>when there were 28,451 office and industrial premises construction projects with a total value of EUR 36 billion and covering an area of ​​93.3 million square meters</w:t>
      </w:r>
      <w:r w:rsidR="00853008" w:rsidRPr="0089798C">
        <w:rPr>
          <w:rStyle w:val="Lienhypertexte"/>
          <w:rFonts w:ascii="Times New Roman" w:hAnsi="Times New Roman"/>
          <w:color w:val="auto"/>
          <w:u w:val="none"/>
        </w:rPr>
        <w:t xml:space="preserve"> (</w:t>
      </w:r>
      <w:r w:rsidR="00B33C89" w:rsidRPr="0089798C">
        <w:rPr>
          <w:rStyle w:val="Lienhypertexte"/>
          <w:rFonts w:ascii="Times New Roman" w:hAnsi="Times New Roman"/>
          <w:color w:val="auto"/>
          <w:u w:val="none"/>
        </w:rPr>
        <w:t>Source: Colliers International Romania Research and Forecast Report 2018</w:t>
      </w:r>
      <w:r w:rsidR="00853008" w:rsidRPr="0089798C">
        <w:rPr>
          <w:rStyle w:val="Lienhypertexte"/>
          <w:rFonts w:ascii="Times New Roman" w:hAnsi="Times New Roman"/>
          <w:color w:val="auto"/>
          <w:u w:val="none"/>
        </w:rPr>
        <w:t>).</w:t>
      </w:r>
    </w:p>
    <w:p w:rsidR="005A7EA7" w:rsidRPr="00D71364" w:rsidRDefault="00B33C89" w:rsidP="0089798C">
      <w:pPr>
        <w:spacing w:after="0"/>
        <w:jc w:val="both"/>
        <w:rPr>
          <w:rStyle w:val="Lienhypertexte"/>
          <w:rFonts w:ascii="Times New Roman" w:hAnsi="Times New Roman"/>
          <w:color w:val="auto"/>
          <w:u w:val="none"/>
          <w:lang w:val="en-US"/>
        </w:rPr>
      </w:pPr>
      <w:r w:rsidRPr="0089798C">
        <w:rPr>
          <w:rStyle w:val="Lienhypertexte"/>
          <w:rFonts w:ascii="Times New Roman" w:hAnsi="Times New Roman"/>
          <w:color w:val="auto"/>
          <w:u w:val="none"/>
        </w:rPr>
        <w:t xml:space="preserve">The </w:t>
      </w:r>
      <w:r w:rsidR="00853008" w:rsidRPr="0089798C">
        <w:rPr>
          <w:rStyle w:val="Lienhypertexte"/>
          <w:rFonts w:ascii="Times New Roman" w:hAnsi="Times New Roman"/>
          <w:color w:val="auto"/>
          <w:u w:val="none"/>
        </w:rPr>
        <w:t xml:space="preserve">ascendant </w:t>
      </w:r>
      <w:r w:rsidRPr="0089798C">
        <w:rPr>
          <w:rStyle w:val="Lienhypertexte"/>
          <w:rFonts w:ascii="Times New Roman" w:hAnsi="Times New Roman"/>
          <w:color w:val="auto"/>
          <w:u w:val="none"/>
        </w:rPr>
        <w:t xml:space="preserve">trend </w:t>
      </w:r>
      <w:r w:rsidR="005A7EA7" w:rsidRPr="0089798C">
        <w:rPr>
          <w:rStyle w:val="Lienhypertexte"/>
          <w:rFonts w:ascii="Times New Roman" w:hAnsi="Times New Roman"/>
          <w:color w:val="auto"/>
          <w:u w:val="none"/>
        </w:rPr>
        <w:t>is expected to contin</w:t>
      </w:r>
      <w:r w:rsidR="00853008" w:rsidRPr="0089798C">
        <w:rPr>
          <w:rStyle w:val="Lienhypertexte"/>
          <w:rFonts w:ascii="Times New Roman" w:hAnsi="Times New Roman"/>
          <w:color w:val="auto"/>
          <w:u w:val="none"/>
        </w:rPr>
        <w:t>ue in 2018 as</w:t>
      </w:r>
      <w:r w:rsidR="005A7EA7" w:rsidRPr="0089798C">
        <w:rPr>
          <w:rStyle w:val="Lienhypertexte"/>
          <w:rFonts w:ascii="Times New Roman" w:hAnsi="Times New Roman"/>
          <w:color w:val="auto"/>
          <w:u w:val="none"/>
        </w:rPr>
        <w:t xml:space="preserve"> </w:t>
      </w:r>
      <w:r w:rsidR="00853008" w:rsidRPr="0089798C">
        <w:rPr>
          <w:rStyle w:val="Lienhypertexte"/>
          <w:rFonts w:ascii="Times New Roman" w:hAnsi="Times New Roman"/>
          <w:color w:val="auto"/>
          <w:u w:val="none"/>
        </w:rPr>
        <w:t>i</w:t>
      </w:r>
      <w:r w:rsidR="005A7EA7" w:rsidRPr="0089798C">
        <w:rPr>
          <w:rStyle w:val="Lienhypertexte"/>
          <w:rFonts w:ascii="Times New Roman" w:hAnsi="Times New Roman"/>
          <w:color w:val="auto"/>
          <w:u w:val="none"/>
        </w:rPr>
        <w:t>t is predicted that demand will rise for new office constructions as current and new players in the market will plan to increase their occupied space by 20-50%. As for the retail real estate segment, no new significant projects were announced in Bucharest for the coming years, yet, given the high level of growth it is expected that investments will continue to grow. Such investments will focus on less populated cities and in the expansion of modern retail space.</w:t>
      </w:r>
      <w:r w:rsidR="005D34EA" w:rsidRPr="0089798C">
        <w:rPr>
          <w:rStyle w:val="Lienhypertexte"/>
          <w:rFonts w:ascii="Times New Roman" w:hAnsi="Times New Roman"/>
          <w:color w:val="auto"/>
          <w:u w:val="none"/>
        </w:rPr>
        <w:t> </w:t>
      </w:r>
      <w:r w:rsidR="00853008" w:rsidRPr="00D71364">
        <w:rPr>
          <w:rStyle w:val="Lienhypertexte"/>
          <w:rFonts w:ascii="Times New Roman" w:hAnsi="Times New Roman"/>
          <w:color w:val="auto"/>
          <w:u w:val="none"/>
          <w:lang w:val="en-US"/>
        </w:rPr>
        <w:t>(</w:t>
      </w:r>
      <w:r w:rsidR="005A7EA7" w:rsidRPr="00D71364">
        <w:rPr>
          <w:rStyle w:val="Lienhypertexte"/>
          <w:rFonts w:ascii="Times New Roman" w:hAnsi="Times New Roman"/>
          <w:color w:val="auto"/>
          <w:u w:val="none"/>
          <w:lang w:val="en-US"/>
        </w:rPr>
        <w:t>Source: European Commission - European Construction Sector Observatory, Country profile Romania</w:t>
      </w:r>
      <w:r w:rsidR="00A7768A" w:rsidRPr="00D71364">
        <w:rPr>
          <w:rStyle w:val="Lienhypertexte"/>
          <w:rFonts w:ascii="Times New Roman" w:hAnsi="Times New Roman"/>
          <w:color w:val="auto"/>
          <w:u w:val="none"/>
          <w:lang w:val="en-US"/>
        </w:rPr>
        <w:t xml:space="preserve">, </w:t>
      </w:r>
      <w:r w:rsidR="005A7EA7" w:rsidRPr="00D71364">
        <w:rPr>
          <w:rStyle w:val="Lienhypertexte"/>
          <w:rFonts w:ascii="Times New Roman" w:hAnsi="Times New Roman"/>
          <w:color w:val="auto"/>
          <w:u w:val="none"/>
          <w:lang w:val="en-US"/>
        </w:rPr>
        <w:t>June 2018</w:t>
      </w:r>
      <w:r w:rsidR="00853008" w:rsidRPr="00D71364">
        <w:rPr>
          <w:rStyle w:val="Lienhypertexte"/>
          <w:rFonts w:ascii="Times New Roman" w:hAnsi="Times New Roman"/>
          <w:color w:val="auto"/>
          <w:u w:val="none"/>
          <w:lang w:val="en-US"/>
        </w:rPr>
        <w:t>)</w:t>
      </w:r>
    </w:p>
    <w:p w:rsidR="00835B88" w:rsidRPr="00EA0AF0" w:rsidRDefault="00835B88" w:rsidP="00835B88">
      <w:pPr>
        <w:spacing w:after="0" w:line="240" w:lineRule="auto"/>
        <w:jc w:val="both"/>
        <w:rPr>
          <w:rStyle w:val="Lienhypertexte"/>
          <w:rFonts w:ascii="Times New Roman" w:hAnsi="Times New Roman"/>
          <w:b/>
          <w:color w:val="auto"/>
          <w:sz w:val="16"/>
          <w:szCs w:val="16"/>
          <w:u w:val="none"/>
          <w:lang w:val="en-US"/>
        </w:rPr>
      </w:pPr>
    </w:p>
    <w:p w:rsidR="00835B88" w:rsidRPr="00EA0AF0" w:rsidRDefault="00835B88" w:rsidP="00835B88">
      <w:pPr>
        <w:spacing w:after="0" w:line="240" w:lineRule="auto"/>
        <w:jc w:val="both"/>
        <w:rPr>
          <w:rStyle w:val="Lienhypertexte"/>
          <w:rFonts w:ascii="Times New Roman" w:hAnsi="Times New Roman"/>
          <w:b/>
          <w:color w:val="auto"/>
          <w:sz w:val="16"/>
          <w:szCs w:val="16"/>
          <w:u w:val="none"/>
          <w:lang w:val="en-US"/>
        </w:rPr>
      </w:pPr>
    </w:p>
    <w:p w:rsidR="00F26A77" w:rsidRPr="00EA0AF0" w:rsidRDefault="00D71364" w:rsidP="0051273A">
      <w:pPr>
        <w:spacing w:line="240" w:lineRule="auto"/>
        <w:jc w:val="both"/>
        <w:rPr>
          <w:rStyle w:val="Lienhypertexte"/>
          <w:rFonts w:ascii="Times New Roman" w:hAnsi="Times New Roman"/>
          <w:b/>
          <w:color w:val="auto"/>
          <w:sz w:val="24"/>
          <w:szCs w:val="24"/>
          <w:u w:val="none"/>
          <w:lang w:val="en-US"/>
        </w:rPr>
      </w:pPr>
      <w:r>
        <w:rPr>
          <w:rStyle w:val="Lienhypertexte"/>
          <w:rFonts w:ascii="Times New Roman" w:hAnsi="Times New Roman"/>
          <w:b/>
          <w:color w:val="auto"/>
          <w:sz w:val="24"/>
          <w:szCs w:val="24"/>
          <w:u w:val="none"/>
          <w:lang w:val="en-US"/>
        </w:rPr>
        <w:t xml:space="preserve">3.2.1. </w:t>
      </w:r>
      <w:r w:rsidR="000C61E4" w:rsidRPr="00EA0AF0">
        <w:rPr>
          <w:rStyle w:val="Lienhypertexte"/>
          <w:rFonts w:ascii="Times New Roman" w:hAnsi="Times New Roman"/>
          <w:b/>
          <w:color w:val="auto"/>
          <w:sz w:val="24"/>
          <w:szCs w:val="24"/>
          <w:u w:val="none"/>
          <w:lang w:val="en-US"/>
        </w:rPr>
        <w:t>Offices</w:t>
      </w:r>
      <w:r w:rsidR="003F5E07" w:rsidRPr="00EA0AF0">
        <w:rPr>
          <w:rStyle w:val="Lienhypertexte"/>
          <w:rFonts w:ascii="Times New Roman" w:hAnsi="Times New Roman"/>
          <w:b/>
          <w:color w:val="auto"/>
          <w:sz w:val="24"/>
          <w:szCs w:val="24"/>
          <w:u w:val="none"/>
          <w:lang w:val="en-US"/>
        </w:rPr>
        <w:t xml:space="preserve"> </w:t>
      </w:r>
    </w:p>
    <w:p w:rsidR="00835C6A" w:rsidRPr="0089798C" w:rsidRDefault="00835C6A" w:rsidP="0089798C">
      <w:pPr>
        <w:spacing w:after="0"/>
        <w:jc w:val="both"/>
        <w:rPr>
          <w:rStyle w:val="Lienhypertexte"/>
          <w:rFonts w:ascii="Times New Roman" w:hAnsi="Times New Roman"/>
          <w:color w:val="auto"/>
          <w:u w:val="none"/>
        </w:rPr>
      </w:pPr>
      <w:r w:rsidRPr="00D71364">
        <w:rPr>
          <w:rStyle w:val="Lienhypertexte"/>
          <w:rFonts w:ascii="Times New Roman" w:hAnsi="Times New Roman"/>
          <w:color w:val="auto"/>
          <w:u w:val="none"/>
          <w:lang w:val="en-US"/>
        </w:rPr>
        <w:t xml:space="preserve">The office market experienced a moderate increase in 2017 in Bucharest, registering new deliveries of 123,000 </w:t>
      </w:r>
      <w:proofErr w:type="spellStart"/>
      <w:r w:rsidRPr="00D71364">
        <w:rPr>
          <w:rStyle w:val="Lienhypertexte"/>
          <w:rFonts w:ascii="Times New Roman" w:hAnsi="Times New Roman"/>
          <w:color w:val="auto"/>
          <w:u w:val="none"/>
          <w:lang w:val="en-US"/>
        </w:rPr>
        <w:t>sq</w:t>
      </w:r>
      <w:proofErr w:type="spellEnd"/>
      <w:r w:rsidRPr="0089798C">
        <w:rPr>
          <w:rStyle w:val="Lienhypertexte"/>
          <w:rFonts w:ascii="Times New Roman" w:hAnsi="Times New Roman"/>
          <w:color w:val="auto"/>
          <w:u w:val="none"/>
        </w:rPr>
        <w:t xml:space="preserve">m </w:t>
      </w:r>
      <w:proofErr w:type="spellStart"/>
      <w:r w:rsidRPr="0089798C">
        <w:rPr>
          <w:rStyle w:val="Lienhypertexte"/>
          <w:rFonts w:ascii="Times New Roman" w:hAnsi="Times New Roman"/>
          <w:color w:val="auto"/>
          <w:u w:val="none"/>
        </w:rPr>
        <w:t>which</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led</w:t>
      </w:r>
      <w:proofErr w:type="spellEnd"/>
      <w:r w:rsidRPr="0089798C">
        <w:rPr>
          <w:rStyle w:val="Lienhypertexte"/>
          <w:rFonts w:ascii="Times New Roman" w:hAnsi="Times New Roman"/>
          <w:color w:val="auto"/>
          <w:u w:val="none"/>
        </w:rPr>
        <w:t xml:space="preserve"> to a total stock of modern office buildings of 2</w:t>
      </w:r>
      <w:proofErr w:type="gramStart"/>
      <w:r w:rsidRPr="0089798C">
        <w:rPr>
          <w:rStyle w:val="Lienhypertexte"/>
          <w:rFonts w:ascii="Times New Roman" w:hAnsi="Times New Roman"/>
          <w:color w:val="auto"/>
          <w:u w:val="none"/>
        </w:rPr>
        <w:t>,3</w:t>
      </w:r>
      <w:proofErr w:type="gramEnd"/>
      <w:r w:rsidRPr="0089798C">
        <w:rPr>
          <w:rStyle w:val="Lienhypertexte"/>
          <w:rFonts w:ascii="Times New Roman" w:hAnsi="Times New Roman"/>
          <w:color w:val="auto"/>
          <w:u w:val="none"/>
        </w:rPr>
        <w:t xml:space="preserve"> mn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The total take-up for Class A office buildings </w:t>
      </w:r>
      <w:proofErr w:type="spellStart"/>
      <w:r w:rsidRPr="0089798C">
        <w:rPr>
          <w:rStyle w:val="Lienhypertexte"/>
          <w:rFonts w:ascii="Times New Roman" w:hAnsi="Times New Roman"/>
          <w:color w:val="auto"/>
          <w:u w:val="none"/>
        </w:rPr>
        <w:t>amounted</w:t>
      </w:r>
      <w:proofErr w:type="spellEnd"/>
      <w:r w:rsidRPr="0089798C">
        <w:rPr>
          <w:rStyle w:val="Lienhypertexte"/>
          <w:rFonts w:ascii="Times New Roman" w:hAnsi="Times New Roman"/>
          <w:color w:val="auto"/>
          <w:u w:val="none"/>
        </w:rPr>
        <w:t xml:space="preserve"> to 320,000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as the n</w:t>
      </w:r>
      <w:r w:rsidR="0009524D" w:rsidRPr="0089798C">
        <w:rPr>
          <w:rStyle w:val="Lienhypertexte"/>
          <w:rFonts w:ascii="Times New Roman" w:hAnsi="Times New Roman"/>
          <w:color w:val="auto"/>
          <w:u w:val="none"/>
        </w:rPr>
        <w:t xml:space="preserve">et </w:t>
      </w:r>
      <w:proofErr w:type="spellStart"/>
      <w:r w:rsidR="0009524D" w:rsidRPr="0089798C">
        <w:rPr>
          <w:rStyle w:val="Lienhypertexte"/>
          <w:rFonts w:ascii="Times New Roman" w:hAnsi="Times New Roman"/>
          <w:color w:val="auto"/>
          <w:u w:val="none"/>
        </w:rPr>
        <w:t>take-up</w:t>
      </w:r>
      <w:proofErr w:type="spellEnd"/>
      <w:r w:rsidR="0009524D" w:rsidRPr="0089798C">
        <w:rPr>
          <w:rStyle w:val="Lienhypertexte"/>
          <w:rFonts w:ascii="Times New Roman" w:hAnsi="Times New Roman"/>
          <w:color w:val="auto"/>
          <w:u w:val="none"/>
        </w:rPr>
        <w:t xml:space="preserve"> </w:t>
      </w:r>
      <w:proofErr w:type="spellStart"/>
      <w:r w:rsidR="0009524D" w:rsidRPr="0089798C">
        <w:rPr>
          <w:rStyle w:val="Lienhypertexte"/>
          <w:rFonts w:ascii="Times New Roman" w:hAnsi="Times New Roman"/>
          <w:color w:val="auto"/>
          <w:u w:val="none"/>
        </w:rPr>
        <w:t>exceeded</w:t>
      </w:r>
      <w:proofErr w:type="spellEnd"/>
      <w:r w:rsidR="0009524D" w:rsidRPr="0089798C">
        <w:rPr>
          <w:rStyle w:val="Lienhypertexte"/>
          <w:rFonts w:ascii="Times New Roman" w:hAnsi="Times New Roman"/>
          <w:color w:val="auto"/>
          <w:u w:val="none"/>
        </w:rPr>
        <w:t xml:space="preserve"> 150,000 </w:t>
      </w:r>
      <w:proofErr w:type="spellStart"/>
      <w:r w:rsidR="0009524D"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As developers are becoming </w:t>
      </w:r>
      <w:proofErr w:type="spellStart"/>
      <w:r w:rsidRPr="0089798C">
        <w:rPr>
          <w:rStyle w:val="Lienhypertexte"/>
          <w:rFonts w:ascii="Times New Roman" w:hAnsi="Times New Roman"/>
          <w:color w:val="auto"/>
          <w:u w:val="none"/>
        </w:rPr>
        <w:t>increasingly</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cautious</w:t>
      </w:r>
      <w:proofErr w:type="spellEnd"/>
      <w:r w:rsidRPr="0089798C">
        <w:rPr>
          <w:rStyle w:val="Lienhypertexte"/>
          <w:rFonts w:ascii="Times New Roman" w:hAnsi="Times New Roman"/>
          <w:color w:val="auto"/>
          <w:u w:val="none"/>
        </w:rPr>
        <w:t xml:space="preserve">, 185,000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of A-class offices will be delivered </w:t>
      </w:r>
      <w:r w:rsidR="0009524D" w:rsidRPr="0089798C">
        <w:rPr>
          <w:rStyle w:val="Lienhypertexte"/>
          <w:rFonts w:ascii="Times New Roman" w:hAnsi="Times New Roman"/>
          <w:color w:val="auto"/>
          <w:u w:val="none"/>
        </w:rPr>
        <w:t>in 2018</w:t>
      </w:r>
      <w:r w:rsidRPr="0089798C">
        <w:rPr>
          <w:rStyle w:val="Lienhypertexte"/>
          <w:rFonts w:ascii="Times New Roman" w:hAnsi="Times New Roman"/>
          <w:color w:val="auto"/>
          <w:u w:val="none"/>
        </w:rPr>
        <w:t xml:space="preserve">, with a gross take-up </w:t>
      </w:r>
      <w:proofErr w:type="spellStart"/>
      <w:r w:rsidRPr="0089798C">
        <w:rPr>
          <w:rStyle w:val="Lienhypertexte"/>
          <w:rFonts w:ascii="Times New Roman" w:hAnsi="Times New Roman"/>
          <w:color w:val="auto"/>
          <w:u w:val="none"/>
        </w:rPr>
        <w:t>forecasted</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around</w:t>
      </w:r>
      <w:proofErr w:type="spellEnd"/>
      <w:r w:rsidRPr="0089798C">
        <w:rPr>
          <w:rStyle w:val="Lienhypertexte"/>
          <w:rFonts w:ascii="Times New Roman" w:hAnsi="Times New Roman"/>
          <w:color w:val="auto"/>
          <w:u w:val="none"/>
        </w:rPr>
        <w:t xml:space="preserve"> 300,000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with</w:t>
      </w:r>
      <w:proofErr w:type="spellEnd"/>
      <w:r w:rsidRPr="0089798C">
        <w:rPr>
          <w:rStyle w:val="Lienhypertexte"/>
          <w:rFonts w:ascii="Times New Roman" w:hAnsi="Times New Roman"/>
          <w:color w:val="auto"/>
          <w:u w:val="none"/>
        </w:rPr>
        <w:t xml:space="preserve"> a net </w:t>
      </w:r>
      <w:proofErr w:type="spellStart"/>
      <w:r w:rsidRPr="0089798C">
        <w:rPr>
          <w:rStyle w:val="Lienhypertexte"/>
          <w:rFonts w:ascii="Times New Roman" w:hAnsi="Times New Roman"/>
          <w:color w:val="auto"/>
          <w:u w:val="none"/>
        </w:rPr>
        <w:t>take-up</w:t>
      </w:r>
      <w:proofErr w:type="spellEnd"/>
      <w:r w:rsidRPr="0089798C">
        <w:rPr>
          <w:rStyle w:val="Lienhypertexte"/>
          <w:rFonts w:ascii="Times New Roman" w:hAnsi="Times New Roman"/>
          <w:color w:val="auto"/>
          <w:u w:val="none"/>
        </w:rPr>
        <w:t xml:space="preserve"> of 135,000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w:t>
      </w:r>
      <w:r w:rsidR="0009524D" w:rsidRPr="0089798C">
        <w:rPr>
          <w:rStyle w:val="Lienhypertexte"/>
          <w:rFonts w:ascii="Times New Roman" w:hAnsi="Times New Roman"/>
          <w:color w:val="auto"/>
          <w:u w:val="none"/>
        </w:rPr>
        <w:t xml:space="preserve"> T</w:t>
      </w:r>
      <w:r w:rsidRPr="0089798C">
        <w:rPr>
          <w:rStyle w:val="Lienhypertexte"/>
          <w:rFonts w:ascii="Times New Roman" w:hAnsi="Times New Roman"/>
          <w:color w:val="auto"/>
          <w:u w:val="none"/>
        </w:rPr>
        <w:t xml:space="preserve">he magnetism of regional cities will also be supported by a generous pipeline: if the total office stock in the four major regional cities is now 3.5 times lower than that of Bucharest, it will increase in 2018 </w:t>
      </w:r>
      <w:proofErr w:type="spellStart"/>
      <w:r w:rsidRPr="0089798C">
        <w:rPr>
          <w:rStyle w:val="Lienhypertexte"/>
          <w:rFonts w:ascii="Times New Roman" w:hAnsi="Times New Roman"/>
          <w:color w:val="auto"/>
          <w:u w:val="none"/>
        </w:rPr>
        <w:t>with</w:t>
      </w:r>
      <w:proofErr w:type="spellEnd"/>
      <w:r w:rsidRPr="0089798C">
        <w:rPr>
          <w:rStyle w:val="Lienhypertexte"/>
          <w:rFonts w:ascii="Times New Roman" w:hAnsi="Times New Roman"/>
          <w:color w:val="auto"/>
          <w:u w:val="none"/>
        </w:rPr>
        <w:t xml:space="preserve"> 150,000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which</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will</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reduce</w:t>
      </w:r>
      <w:proofErr w:type="spellEnd"/>
      <w:r w:rsidRPr="0089798C">
        <w:rPr>
          <w:rStyle w:val="Lienhypertexte"/>
          <w:rFonts w:ascii="Times New Roman" w:hAnsi="Times New Roman"/>
          <w:color w:val="auto"/>
          <w:u w:val="none"/>
        </w:rPr>
        <w:t xml:space="preserve"> the gap.</w:t>
      </w:r>
    </w:p>
    <w:p w:rsidR="00835C6A" w:rsidRPr="0089798C" w:rsidRDefault="00835C6A"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Whereas office buildings </w:t>
      </w:r>
      <w:r w:rsidR="004C3CB0" w:rsidRPr="0089798C">
        <w:rPr>
          <w:rStyle w:val="Lienhypertexte"/>
          <w:rFonts w:ascii="Times New Roman" w:hAnsi="Times New Roman"/>
          <w:color w:val="auto"/>
          <w:u w:val="none"/>
        </w:rPr>
        <w:t xml:space="preserve">constructed in the last period </w:t>
      </w:r>
      <w:r w:rsidRPr="0089798C">
        <w:rPr>
          <w:rStyle w:val="Lienhypertexte"/>
          <w:rFonts w:ascii="Times New Roman" w:hAnsi="Times New Roman"/>
          <w:color w:val="auto"/>
          <w:u w:val="none"/>
        </w:rPr>
        <w:t xml:space="preserve">had an average surface of 20,000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the pipeline for the next period includes projects with an average surface area of over 50,000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Therefore, the volume of investment in the office market could increase </w:t>
      </w:r>
      <w:proofErr w:type="spellStart"/>
      <w:r w:rsidRPr="0089798C">
        <w:rPr>
          <w:rStyle w:val="Lienhypertexte"/>
          <w:rFonts w:ascii="Times New Roman" w:hAnsi="Times New Roman"/>
          <w:color w:val="auto"/>
          <w:u w:val="none"/>
        </w:rPr>
        <w:t>from</w:t>
      </w:r>
      <w:proofErr w:type="spellEnd"/>
      <w:r w:rsidRPr="0089798C">
        <w:rPr>
          <w:rStyle w:val="Lienhypertexte"/>
          <w:rFonts w:ascii="Times New Roman" w:hAnsi="Times New Roman"/>
          <w:color w:val="auto"/>
          <w:u w:val="none"/>
        </w:rPr>
        <w:t xml:space="preserve"> EUR 160</w:t>
      </w:r>
      <w:r w:rsidR="007759B0"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 xml:space="preserve">mn </w:t>
      </w:r>
      <w:proofErr w:type="spellStart"/>
      <w:r w:rsidRPr="0089798C">
        <w:rPr>
          <w:rStyle w:val="Lienhypertexte"/>
          <w:rFonts w:ascii="Times New Roman" w:hAnsi="Times New Roman"/>
          <w:color w:val="auto"/>
          <w:u w:val="none"/>
        </w:rPr>
        <w:t>in</w:t>
      </w:r>
      <w:proofErr w:type="spellEnd"/>
      <w:r w:rsidRPr="0089798C">
        <w:rPr>
          <w:rStyle w:val="Lienhypertexte"/>
          <w:rFonts w:ascii="Times New Roman" w:hAnsi="Times New Roman"/>
          <w:color w:val="auto"/>
          <w:u w:val="none"/>
        </w:rPr>
        <w:t xml:space="preserve"> 2017 to EUR 500</w:t>
      </w:r>
      <w:r w:rsidR="007759B0"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 xml:space="preserve">mn </w:t>
      </w:r>
      <w:proofErr w:type="spellStart"/>
      <w:r w:rsidRPr="0089798C">
        <w:rPr>
          <w:rStyle w:val="Lienhypertexte"/>
          <w:rFonts w:ascii="Times New Roman" w:hAnsi="Times New Roman"/>
          <w:color w:val="auto"/>
          <w:u w:val="none"/>
        </w:rPr>
        <w:t>in</w:t>
      </w:r>
      <w:proofErr w:type="spellEnd"/>
      <w:r w:rsidRPr="0089798C">
        <w:rPr>
          <w:rStyle w:val="Lienhypertexte"/>
          <w:rFonts w:ascii="Times New Roman" w:hAnsi="Times New Roman"/>
          <w:color w:val="auto"/>
          <w:u w:val="none"/>
        </w:rPr>
        <w:t xml:space="preserve"> 2018. </w:t>
      </w:r>
    </w:p>
    <w:p w:rsidR="00C02B4B" w:rsidRPr="00EA0AF0" w:rsidRDefault="00C02B4B" w:rsidP="00174ADD">
      <w:pPr>
        <w:autoSpaceDE w:val="0"/>
        <w:autoSpaceDN w:val="0"/>
        <w:adjustRightInd w:val="0"/>
        <w:spacing w:after="0" w:line="240" w:lineRule="auto"/>
        <w:jc w:val="both"/>
        <w:rPr>
          <w:rStyle w:val="Lienhypertexte"/>
          <w:rFonts w:ascii="Times New Roman" w:hAnsi="Times New Roman"/>
          <w:color w:val="auto"/>
          <w:u w:val="none"/>
          <w:lang w:val="en-US"/>
        </w:rPr>
      </w:pPr>
    </w:p>
    <w:p w:rsidR="00365739" w:rsidRPr="00EA0AF0" w:rsidRDefault="00365739" w:rsidP="00174ADD">
      <w:pPr>
        <w:autoSpaceDE w:val="0"/>
        <w:autoSpaceDN w:val="0"/>
        <w:adjustRightInd w:val="0"/>
        <w:spacing w:after="0" w:line="240" w:lineRule="auto"/>
        <w:jc w:val="both"/>
        <w:rPr>
          <w:rStyle w:val="Lienhypertexte"/>
          <w:rFonts w:ascii="Times New Roman" w:hAnsi="Times New Roman"/>
          <w:b/>
          <w:color w:val="auto"/>
          <w:sz w:val="24"/>
          <w:szCs w:val="24"/>
          <w:u w:val="none"/>
          <w:lang w:val="en-US"/>
        </w:rPr>
      </w:pPr>
      <w:r w:rsidRPr="00EA0AF0">
        <w:rPr>
          <w:rStyle w:val="Lienhypertexte"/>
          <w:rFonts w:ascii="Times New Roman" w:hAnsi="Times New Roman"/>
          <w:b/>
          <w:color w:val="auto"/>
          <w:sz w:val="24"/>
          <w:szCs w:val="24"/>
          <w:u w:val="none"/>
          <w:lang w:val="en-US"/>
        </w:rPr>
        <w:t>Major offices projects in pipe for the next period</w:t>
      </w:r>
    </w:p>
    <w:p w:rsidR="003F5E07" w:rsidRPr="00954D9F" w:rsidRDefault="003F5E07" w:rsidP="0089798C">
      <w:pPr>
        <w:spacing w:after="0"/>
        <w:jc w:val="both"/>
        <w:rPr>
          <w:rStyle w:val="Lienhypertexte"/>
          <w:rFonts w:ascii="Times New Roman" w:hAnsi="Times New Roman"/>
          <w:color w:val="auto"/>
          <w:u w:val="none"/>
          <w:lang w:val="en-US"/>
        </w:rPr>
      </w:pPr>
    </w:p>
    <w:p w:rsidR="00365739" w:rsidRPr="0089798C" w:rsidRDefault="00F83FE3" w:rsidP="0089798C">
      <w:pPr>
        <w:spacing w:after="0"/>
        <w:jc w:val="both"/>
        <w:rPr>
          <w:rStyle w:val="Lienhypertexte"/>
          <w:rFonts w:ascii="Times New Roman" w:hAnsi="Times New Roman"/>
          <w:color w:val="auto"/>
          <w:u w:val="none"/>
        </w:rPr>
      </w:pPr>
      <w:r w:rsidRPr="00954D9F">
        <w:rPr>
          <w:rStyle w:val="Lienhypertexte"/>
          <w:rFonts w:ascii="Times New Roman" w:hAnsi="Times New Roman"/>
          <w:color w:val="auto"/>
          <w:u w:val="none"/>
          <w:lang w:val="en-US"/>
        </w:rPr>
        <w:t xml:space="preserve">In </w:t>
      </w:r>
      <w:r w:rsidR="00365739" w:rsidRPr="00954D9F">
        <w:rPr>
          <w:rStyle w:val="Lienhypertexte"/>
          <w:rFonts w:ascii="Times New Roman" w:hAnsi="Times New Roman"/>
          <w:color w:val="auto"/>
          <w:u w:val="none"/>
          <w:lang w:val="en-US"/>
        </w:rPr>
        <w:t xml:space="preserve">Bucharest </w:t>
      </w:r>
      <w:r w:rsidRPr="00954D9F">
        <w:rPr>
          <w:rStyle w:val="Lienhypertexte"/>
          <w:rFonts w:ascii="Times New Roman" w:hAnsi="Times New Roman"/>
          <w:color w:val="auto"/>
          <w:u w:val="none"/>
          <w:lang w:val="en-US"/>
        </w:rPr>
        <w:t>the top 5 projects are:</w:t>
      </w:r>
      <w:r w:rsidR="00365739" w:rsidRPr="00954D9F">
        <w:rPr>
          <w:rStyle w:val="Lienhypertexte"/>
          <w:rFonts w:ascii="Times New Roman" w:hAnsi="Times New Roman"/>
          <w:color w:val="auto"/>
          <w:u w:val="none"/>
          <w:lang w:val="en-US"/>
        </w:rPr>
        <w:t xml:space="preserve"> </w:t>
      </w:r>
      <w:proofErr w:type="spellStart"/>
      <w:r w:rsidR="00365739" w:rsidRPr="00954D9F">
        <w:rPr>
          <w:rStyle w:val="Lienhypertexte"/>
          <w:rFonts w:ascii="Times New Roman" w:hAnsi="Times New Roman"/>
          <w:color w:val="auto"/>
          <w:u w:val="none"/>
          <w:lang w:val="en-US"/>
        </w:rPr>
        <w:t>Globalworth</w:t>
      </w:r>
      <w:proofErr w:type="spellEnd"/>
      <w:r w:rsidR="00365739" w:rsidRPr="00954D9F">
        <w:rPr>
          <w:rStyle w:val="Lienhypertexte"/>
          <w:rFonts w:ascii="Times New Roman" w:hAnsi="Times New Roman"/>
          <w:color w:val="auto"/>
          <w:u w:val="none"/>
          <w:lang w:val="en-US"/>
        </w:rPr>
        <w:t xml:space="preserve"> Campus 2 &amp; 3 - 59.000 </w:t>
      </w:r>
      <w:proofErr w:type="spellStart"/>
      <w:r w:rsidR="00365739" w:rsidRPr="00954D9F">
        <w:rPr>
          <w:rStyle w:val="Lienhypertexte"/>
          <w:rFonts w:ascii="Times New Roman" w:hAnsi="Times New Roman"/>
          <w:color w:val="auto"/>
          <w:u w:val="none"/>
          <w:lang w:val="en-US"/>
        </w:rPr>
        <w:t>mp</w:t>
      </w:r>
      <w:proofErr w:type="spellEnd"/>
      <w:r w:rsidR="00365739" w:rsidRPr="00954D9F">
        <w:rPr>
          <w:rStyle w:val="Lienhypertexte"/>
          <w:rFonts w:ascii="Times New Roman" w:hAnsi="Times New Roman"/>
          <w:color w:val="auto"/>
          <w:u w:val="none"/>
          <w:lang w:val="en-US"/>
        </w:rPr>
        <w:t xml:space="preserve">, City Rose Park - 46.000 </w:t>
      </w:r>
      <w:proofErr w:type="spellStart"/>
      <w:r w:rsidR="00365739" w:rsidRPr="00954D9F">
        <w:rPr>
          <w:rStyle w:val="Lienhypertexte"/>
          <w:rFonts w:ascii="Times New Roman" w:hAnsi="Times New Roman"/>
          <w:color w:val="auto"/>
          <w:u w:val="none"/>
          <w:lang w:val="en-US"/>
        </w:rPr>
        <w:t>mp</w:t>
      </w:r>
      <w:proofErr w:type="spellEnd"/>
      <w:r w:rsidR="00365739" w:rsidRPr="00954D9F">
        <w:rPr>
          <w:rStyle w:val="Lienhypertexte"/>
          <w:rFonts w:ascii="Times New Roman" w:hAnsi="Times New Roman"/>
          <w:color w:val="auto"/>
          <w:u w:val="none"/>
          <w:lang w:val="en-US"/>
        </w:rPr>
        <w:t xml:space="preserve">, Expo Business Park - </w:t>
      </w:r>
      <w:r w:rsidR="00365739" w:rsidRPr="0089798C">
        <w:rPr>
          <w:rStyle w:val="Lienhypertexte"/>
          <w:rFonts w:ascii="Times New Roman" w:hAnsi="Times New Roman"/>
          <w:color w:val="auto"/>
          <w:u w:val="none"/>
        </w:rPr>
        <w:t xml:space="preserve">42.000 </w:t>
      </w:r>
      <w:proofErr w:type="spellStart"/>
      <w:r w:rsidR="00365739" w:rsidRPr="0089798C">
        <w:rPr>
          <w:rStyle w:val="Lienhypertexte"/>
          <w:rFonts w:ascii="Times New Roman" w:hAnsi="Times New Roman"/>
          <w:color w:val="auto"/>
          <w:u w:val="none"/>
        </w:rPr>
        <w:t>mp</w:t>
      </w:r>
      <w:proofErr w:type="spellEnd"/>
      <w:r w:rsidR="00365739" w:rsidRPr="0089798C">
        <w:rPr>
          <w:rStyle w:val="Lienhypertexte"/>
          <w:rFonts w:ascii="Times New Roman" w:hAnsi="Times New Roman"/>
          <w:color w:val="auto"/>
          <w:u w:val="none"/>
        </w:rPr>
        <w:t xml:space="preserve">, </w:t>
      </w:r>
      <w:proofErr w:type="spellStart"/>
      <w:r w:rsidR="00365739" w:rsidRPr="0089798C">
        <w:rPr>
          <w:rStyle w:val="Lienhypertexte"/>
          <w:rFonts w:ascii="Times New Roman" w:hAnsi="Times New Roman"/>
          <w:color w:val="auto"/>
          <w:u w:val="none"/>
        </w:rPr>
        <w:t>Bucharest</w:t>
      </w:r>
      <w:proofErr w:type="spellEnd"/>
      <w:r w:rsidR="00365739" w:rsidRPr="0089798C">
        <w:rPr>
          <w:rStyle w:val="Lienhypertexte"/>
          <w:rFonts w:ascii="Times New Roman" w:hAnsi="Times New Roman"/>
          <w:color w:val="auto"/>
          <w:u w:val="none"/>
        </w:rPr>
        <w:t xml:space="preserve"> Business Garden - 41.000 </w:t>
      </w:r>
      <w:proofErr w:type="spellStart"/>
      <w:r w:rsidR="00365739" w:rsidRPr="0089798C">
        <w:rPr>
          <w:rStyle w:val="Lienhypertexte"/>
          <w:rFonts w:ascii="Times New Roman" w:hAnsi="Times New Roman"/>
          <w:color w:val="auto"/>
          <w:u w:val="none"/>
        </w:rPr>
        <w:t>mp</w:t>
      </w:r>
      <w:proofErr w:type="spellEnd"/>
      <w:r w:rsidR="00365739" w:rsidRPr="0089798C">
        <w:rPr>
          <w:rStyle w:val="Lienhypertexte"/>
          <w:rFonts w:ascii="Times New Roman" w:hAnsi="Times New Roman"/>
          <w:color w:val="auto"/>
          <w:u w:val="none"/>
        </w:rPr>
        <w:t xml:space="preserve"> and </w:t>
      </w:r>
      <w:proofErr w:type="spellStart"/>
      <w:r w:rsidR="00365739" w:rsidRPr="0089798C">
        <w:rPr>
          <w:rStyle w:val="Lienhypertexte"/>
          <w:rFonts w:ascii="Times New Roman" w:hAnsi="Times New Roman"/>
          <w:color w:val="auto"/>
          <w:u w:val="none"/>
        </w:rPr>
        <w:t>Equilibrum</w:t>
      </w:r>
      <w:proofErr w:type="spellEnd"/>
      <w:r w:rsidR="00365739" w:rsidRPr="0089798C">
        <w:rPr>
          <w:rStyle w:val="Lienhypertexte"/>
          <w:rFonts w:ascii="Times New Roman" w:hAnsi="Times New Roman"/>
          <w:color w:val="auto"/>
          <w:u w:val="none"/>
        </w:rPr>
        <w:t xml:space="preserve"> - 40.000 </w:t>
      </w:r>
      <w:proofErr w:type="spellStart"/>
      <w:r w:rsidR="00365739" w:rsidRPr="0089798C">
        <w:rPr>
          <w:rStyle w:val="Lienhypertexte"/>
          <w:rFonts w:ascii="Times New Roman" w:hAnsi="Times New Roman"/>
          <w:color w:val="auto"/>
          <w:u w:val="none"/>
        </w:rPr>
        <w:t>mp</w:t>
      </w:r>
      <w:proofErr w:type="spellEnd"/>
      <w:r w:rsidR="00365739" w:rsidRPr="0089798C">
        <w:rPr>
          <w:rStyle w:val="Lienhypertexte"/>
          <w:rFonts w:ascii="Times New Roman" w:hAnsi="Times New Roman"/>
          <w:color w:val="auto"/>
          <w:u w:val="none"/>
        </w:rPr>
        <w:t>.</w:t>
      </w:r>
    </w:p>
    <w:p w:rsidR="00174ADD" w:rsidRPr="0089798C" w:rsidRDefault="00174ADD"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Timisoara has the biggest pipeline among the major </w:t>
      </w:r>
      <w:r w:rsidR="00365739" w:rsidRPr="0089798C">
        <w:rPr>
          <w:rStyle w:val="Lienhypertexte"/>
          <w:rFonts w:ascii="Times New Roman" w:hAnsi="Times New Roman"/>
          <w:color w:val="auto"/>
          <w:u w:val="none"/>
        </w:rPr>
        <w:t xml:space="preserve">regional cities </w:t>
      </w:r>
      <w:r w:rsidRPr="0089798C">
        <w:rPr>
          <w:rStyle w:val="Lienhypertexte"/>
          <w:rFonts w:ascii="Times New Roman" w:hAnsi="Times New Roman"/>
          <w:color w:val="auto"/>
          <w:u w:val="none"/>
        </w:rPr>
        <w:t xml:space="preserve">mostly due to the </w:t>
      </w:r>
      <w:proofErr w:type="spellStart"/>
      <w:r w:rsidRPr="0089798C">
        <w:rPr>
          <w:rStyle w:val="Lienhypertexte"/>
          <w:rFonts w:ascii="Times New Roman" w:hAnsi="Times New Roman"/>
          <w:color w:val="auto"/>
          <w:u w:val="none"/>
        </w:rPr>
        <w:t>Openville</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project</w:t>
      </w:r>
      <w:proofErr w:type="spellEnd"/>
      <w:r w:rsidRPr="0089798C">
        <w:rPr>
          <w:rStyle w:val="Lienhypertexte"/>
          <w:rFonts w:ascii="Times New Roman" w:hAnsi="Times New Roman"/>
          <w:color w:val="auto"/>
          <w:u w:val="none"/>
        </w:rPr>
        <w:t xml:space="preserve">, one of the biggest mixed-use schemes in Romania, but also other large projects like ISHO Offices, Bega Business </w:t>
      </w:r>
      <w:r w:rsidR="00365739" w:rsidRPr="0089798C">
        <w:rPr>
          <w:rStyle w:val="Lienhypertexte"/>
          <w:rFonts w:ascii="Times New Roman" w:hAnsi="Times New Roman"/>
          <w:color w:val="auto"/>
          <w:u w:val="none"/>
        </w:rPr>
        <w:t>Park or VOX Technology Park</w:t>
      </w:r>
      <w:r w:rsidRPr="0089798C">
        <w:rPr>
          <w:rStyle w:val="Lienhypertexte"/>
          <w:rFonts w:ascii="Times New Roman" w:hAnsi="Times New Roman"/>
          <w:color w:val="auto"/>
          <w:u w:val="none"/>
        </w:rPr>
        <w:t>.</w:t>
      </w:r>
    </w:p>
    <w:p w:rsidR="005D34EA" w:rsidRPr="0089798C" w:rsidRDefault="00174ADD"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Cluj-Napoca has been recently crowned by the Milken Institute as the fastest growing in the EU in terms of hi-tech services expansion in recent years. </w:t>
      </w:r>
      <w:r w:rsidR="00365739" w:rsidRPr="0089798C">
        <w:rPr>
          <w:rStyle w:val="Lienhypertexte"/>
          <w:rFonts w:ascii="Times New Roman" w:hAnsi="Times New Roman"/>
          <w:color w:val="auto"/>
          <w:u w:val="none"/>
        </w:rPr>
        <w:t>The city has in</w:t>
      </w:r>
      <w:r w:rsidRPr="0089798C">
        <w:rPr>
          <w:rStyle w:val="Lienhypertexte"/>
          <w:rFonts w:ascii="Times New Roman" w:hAnsi="Times New Roman"/>
          <w:color w:val="auto"/>
          <w:u w:val="none"/>
        </w:rPr>
        <w:t xml:space="preserve"> </w:t>
      </w:r>
      <w:r w:rsidR="00365739" w:rsidRPr="0089798C">
        <w:rPr>
          <w:rStyle w:val="Lienhypertexte"/>
          <w:rFonts w:ascii="Times New Roman" w:hAnsi="Times New Roman"/>
          <w:color w:val="auto"/>
          <w:u w:val="none"/>
        </w:rPr>
        <w:t xml:space="preserve">pipeline for 2018 </w:t>
      </w:r>
      <w:r w:rsidRPr="0089798C">
        <w:rPr>
          <w:rStyle w:val="Lienhypertexte"/>
          <w:rFonts w:ascii="Times New Roman" w:hAnsi="Times New Roman"/>
          <w:color w:val="auto"/>
          <w:u w:val="none"/>
        </w:rPr>
        <w:t xml:space="preserve">47,000 </w:t>
      </w:r>
      <w:proofErr w:type="spellStart"/>
      <w:r w:rsidRPr="0089798C">
        <w:rPr>
          <w:rStyle w:val="Lienhypertexte"/>
          <w:rFonts w:ascii="Times New Roman" w:hAnsi="Times New Roman"/>
          <w:color w:val="auto"/>
          <w:u w:val="none"/>
        </w:rPr>
        <w:t>sqm</w:t>
      </w:r>
      <w:proofErr w:type="spellEnd"/>
      <w:r w:rsidR="00365739" w:rsidRPr="0089798C">
        <w:rPr>
          <w:rStyle w:val="Lienhypertexte"/>
          <w:rFonts w:ascii="Times New Roman" w:hAnsi="Times New Roman"/>
          <w:color w:val="auto"/>
          <w:u w:val="none"/>
        </w:rPr>
        <w:t>,</w:t>
      </w:r>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mostl</w:t>
      </w:r>
      <w:r w:rsidR="00365739" w:rsidRPr="0089798C">
        <w:rPr>
          <w:rStyle w:val="Lienhypertexte"/>
          <w:rFonts w:ascii="Times New Roman" w:hAnsi="Times New Roman"/>
          <w:color w:val="auto"/>
          <w:u w:val="none"/>
        </w:rPr>
        <w:t>y</w:t>
      </w:r>
      <w:proofErr w:type="spellEnd"/>
      <w:r w:rsidR="00365739" w:rsidRPr="0089798C">
        <w:rPr>
          <w:rStyle w:val="Lienhypertexte"/>
          <w:rFonts w:ascii="Times New Roman" w:hAnsi="Times New Roman"/>
          <w:color w:val="auto"/>
          <w:u w:val="none"/>
        </w:rPr>
        <w:t xml:space="preserve"> </w:t>
      </w:r>
      <w:proofErr w:type="spellStart"/>
      <w:r w:rsidR="00365739" w:rsidRPr="0089798C">
        <w:rPr>
          <w:rStyle w:val="Lienhypertexte"/>
          <w:rFonts w:ascii="Times New Roman" w:hAnsi="Times New Roman"/>
          <w:color w:val="auto"/>
          <w:u w:val="none"/>
        </w:rPr>
        <w:t>from</w:t>
      </w:r>
      <w:proofErr w:type="spellEnd"/>
      <w:r w:rsidR="00365739" w:rsidRPr="0089798C">
        <w:rPr>
          <w:rStyle w:val="Lienhypertexte"/>
          <w:rFonts w:ascii="Times New Roman" w:hAnsi="Times New Roman"/>
          <w:color w:val="auto"/>
          <w:u w:val="none"/>
        </w:rPr>
        <w:t xml:space="preserve"> UBC Riviera and Hexagon project.</w:t>
      </w:r>
      <w:r w:rsidR="000E3055" w:rsidRPr="0089798C">
        <w:rPr>
          <w:rStyle w:val="Lienhypertexte"/>
          <w:rFonts w:ascii="Times New Roman" w:hAnsi="Times New Roman"/>
          <w:color w:val="auto"/>
          <w:u w:val="none"/>
        </w:rPr>
        <w:t xml:space="preserve"> (</w:t>
      </w:r>
      <w:r w:rsidR="005D34EA" w:rsidRPr="0089798C">
        <w:rPr>
          <w:rStyle w:val="Lienhypertexte"/>
          <w:rFonts w:ascii="Times New Roman" w:hAnsi="Times New Roman"/>
          <w:color w:val="auto"/>
          <w:u w:val="none"/>
        </w:rPr>
        <w:t>Source</w:t>
      </w:r>
      <w:r w:rsidR="008D5FD9" w:rsidRPr="0089798C">
        <w:rPr>
          <w:rStyle w:val="Lienhypertexte"/>
          <w:rFonts w:ascii="Times New Roman" w:hAnsi="Times New Roman"/>
          <w:color w:val="auto"/>
          <w:u w:val="none"/>
        </w:rPr>
        <w:t>:</w:t>
      </w:r>
      <w:r w:rsidR="005D34EA" w:rsidRPr="0089798C">
        <w:rPr>
          <w:rStyle w:val="Lienhypertexte"/>
          <w:rFonts w:ascii="Times New Roman" w:hAnsi="Times New Roman"/>
          <w:color w:val="auto"/>
          <w:u w:val="none"/>
        </w:rPr>
        <w:t xml:space="preserve"> Colliers International Romania Research and Forecast Report 2018</w:t>
      </w:r>
      <w:r w:rsidR="000E3055" w:rsidRPr="0089798C">
        <w:rPr>
          <w:rStyle w:val="Lienhypertexte"/>
          <w:rFonts w:ascii="Times New Roman" w:hAnsi="Times New Roman"/>
          <w:color w:val="auto"/>
          <w:u w:val="none"/>
        </w:rPr>
        <w:t>)</w:t>
      </w:r>
    </w:p>
    <w:p w:rsidR="000E3055" w:rsidRPr="00EA0AF0" w:rsidRDefault="000E3055" w:rsidP="00275807">
      <w:pPr>
        <w:autoSpaceDE w:val="0"/>
        <w:autoSpaceDN w:val="0"/>
        <w:adjustRightInd w:val="0"/>
        <w:spacing w:after="0" w:line="240" w:lineRule="auto"/>
        <w:rPr>
          <w:rStyle w:val="Lienhypertexte"/>
          <w:rFonts w:ascii="Times New Roman" w:hAnsi="Times New Roman"/>
          <w:b/>
          <w:color w:val="auto"/>
          <w:sz w:val="28"/>
          <w:szCs w:val="28"/>
          <w:highlight w:val="green"/>
          <w:u w:val="none"/>
          <w:lang w:val="en-US"/>
        </w:rPr>
      </w:pPr>
    </w:p>
    <w:p w:rsidR="0089798C" w:rsidRDefault="0089798C" w:rsidP="00275807">
      <w:pPr>
        <w:autoSpaceDE w:val="0"/>
        <w:autoSpaceDN w:val="0"/>
        <w:adjustRightInd w:val="0"/>
        <w:spacing w:after="0" w:line="240" w:lineRule="auto"/>
        <w:rPr>
          <w:rStyle w:val="Lienhypertexte"/>
          <w:rFonts w:ascii="Times New Roman" w:hAnsi="Times New Roman"/>
          <w:b/>
          <w:color w:val="auto"/>
          <w:sz w:val="24"/>
          <w:szCs w:val="24"/>
          <w:u w:val="none"/>
          <w:lang w:val="en-US"/>
        </w:rPr>
      </w:pPr>
    </w:p>
    <w:p w:rsidR="00275807" w:rsidRPr="00EA0AF0" w:rsidRDefault="00D71364" w:rsidP="00275807">
      <w:pPr>
        <w:autoSpaceDE w:val="0"/>
        <w:autoSpaceDN w:val="0"/>
        <w:adjustRightInd w:val="0"/>
        <w:spacing w:after="0" w:line="240" w:lineRule="auto"/>
        <w:rPr>
          <w:rStyle w:val="Lienhypertexte"/>
          <w:rFonts w:ascii="Times New Roman" w:hAnsi="Times New Roman"/>
          <w:b/>
          <w:color w:val="auto"/>
          <w:sz w:val="24"/>
          <w:szCs w:val="24"/>
          <w:u w:val="none"/>
          <w:lang w:val="en-US"/>
        </w:rPr>
      </w:pPr>
      <w:r>
        <w:rPr>
          <w:rStyle w:val="Lienhypertexte"/>
          <w:rFonts w:ascii="Times New Roman" w:hAnsi="Times New Roman"/>
          <w:b/>
          <w:color w:val="auto"/>
          <w:sz w:val="24"/>
          <w:szCs w:val="24"/>
          <w:u w:val="none"/>
          <w:lang w:val="en-US"/>
        </w:rPr>
        <w:t xml:space="preserve">3.2.2. </w:t>
      </w:r>
      <w:r w:rsidR="00275807" w:rsidRPr="00EA0AF0">
        <w:rPr>
          <w:rStyle w:val="Lienhypertexte"/>
          <w:rFonts w:ascii="Times New Roman" w:hAnsi="Times New Roman"/>
          <w:b/>
          <w:color w:val="auto"/>
          <w:sz w:val="24"/>
          <w:szCs w:val="24"/>
          <w:u w:val="none"/>
          <w:lang w:val="en-US"/>
        </w:rPr>
        <w:t>Industrial deliveries</w:t>
      </w:r>
      <w:r w:rsidR="002B04C5" w:rsidRPr="00EA0AF0">
        <w:rPr>
          <w:rStyle w:val="Lienhypertexte"/>
          <w:rFonts w:ascii="Times New Roman" w:hAnsi="Times New Roman"/>
          <w:b/>
          <w:color w:val="auto"/>
          <w:sz w:val="24"/>
          <w:szCs w:val="24"/>
          <w:u w:val="none"/>
          <w:lang w:val="en-US"/>
        </w:rPr>
        <w:t xml:space="preserve"> </w:t>
      </w:r>
    </w:p>
    <w:p w:rsidR="00275807" w:rsidRPr="00CD6C4D" w:rsidRDefault="00275807" w:rsidP="00275807">
      <w:pPr>
        <w:autoSpaceDE w:val="0"/>
        <w:autoSpaceDN w:val="0"/>
        <w:adjustRightInd w:val="0"/>
        <w:spacing w:after="0" w:line="240" w:lineRule="auto"/>
        <w:rPr>
          <w:rStyle w:val="Lienhypertexte"/>
          <w:rFonts w:ascii="Times New Roman" w:hAnsi="Times New Roman"/>
          <w:b/>
          <w:color w:val="auto"/>
          <w:sz w:val="16"/>
          <w:szCs w:val="16"/>
          <w:u w:val="none"/>
          <w:lang w:val="en-US"/>
        </w:rPr>
      </w:pPr>
    </w:p>
    <w:p w:rsidR="00275807" w:rsidRPr="0089798C" w:rsidRDefault="00275807"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The industrial market reached last year a total of 3.5 mn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of modern storage spaces nationwide</w:t>
      </w:r>
      <w:r w:rsidR="00507C72"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 xml:space="preserve">an acceleration of more than 40% compared to 2016. </w:t>
      </w:r>
      <w:r w:rsidR="00507C72" w:rsidRPr="0089798C">
        <w:rPr>
          <w:rStyle w:val="Lienhypertexte"/>
          <w:rFonts w:ascii="Times New Roman" w:hAnsi="Times New Roman"/>
          <w:color w:val="auto"/>
          <w:u w:val="none"/>
        </w:rPr>
        <w:t>L</w:t>
      </w:r>
      <w:r w:rsidRPr="0089798C">
        <w:rPr>
          <w:rStyle w:val="Lienhypertexte"/>
          <w:rFonts w:ascii="Times New Roman" w:hAnsi="Times New Roman"/>
          <w:color w:val="auto"/>
          <w:u w:val="none"/>
        </w:rPr>
        <w:t xml:space="preserve">easing transactions for </w:t>
      </w:r>
      <w:proofErr w:type="spellStart"/>
      <w:r w:rsidRPr="0089798C">
        <w:rPr>
          <w:rStyle w:val="Lienhypertexte"/>
          <w:rFonts w:ascii="Times New Roman" w:hAnsi="Times New Roman"/>
          <w:color w:val="auto"/>
          <w:u w:val="none"/>
        </w:rPr>
        <w:t>around</w:t>
      </w:r>
      <w:proofErr w:type="spellEnd"/>
      <w:r w:rsidRPr="0089798C">
        <w:rPr>
          <w:rStyle w:val="Lienhypertexte"/>
          <w:rFonts w:ascii="Times New Roman" w:hAnsi="Times New Roman"/>
          <w:color w:val="auto"/>
          <w:u w:val="none"/>
        </w:rPr>
        <w:t xml:space="preserve"> 500,000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of </w:t>
      </w:r>
      <w:proofErr w:type="spellStart"/>
      <w:r w:rsidRPr="0089798C">
        <w:rPr>
          <w:rStyle w:val="Lienhypertexte"/>
          <w:rFonts w:ascii="Times New Roman" w:hAnsi="Times New Roman"/>
          <w:color w:val="auto"/>
          <w:u w:val="none"/>
        </w:rPr>
        <w:t>such</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spaces</w:t>
      </w:r>
      <w:proofErr w:type="spellEnd"/>
      <w:r w:rsidRPr="0089798C">
        <w:rPr>
          <w:rStyle w:val="Lienhypertexte"/>
          <w:rFonts w:ascii="Times New Roman" w:hAnsi="Times New Roman"/>
          <w:color w:val="auto"/>
          <w:u w:val="none"/>
        </w:rPr>
        <w:t xml:space="preserve"> were concluded, of which almost 52% were in Bucharest, 14.6% in Timisoara and 12.4% in Pitesti. The largest demand came from logistics segment </w:t>
      </w:r>
      <w:r w:rsidR="00507C72" w:rsidRPr="0089798C">
        <w:rPr>
          <w:rStyle w:val="Lienhypertexte"/>
          <w:rFonts w:ascii="Times New Roman" w:hAnsi="Times New Roman"/>
          <w:color w:val="auto"/>
          <w:u w:val="none"/>
        </w:rPr>
        <w:t>(</w:t>
      </w:r>
      <w:r w:rsidRPr="0089798C">
        <w:rPr>
          <w:rStyle w:val="Lienhypertexte"/>
          <w:rFonts w:ascii="Times New Roman" w:hAnsi="Times New Roman"/>
          <w:color w:val="auto"/>
          <w:u w:val="none"/>
        </w:rPr>
        <w:t>47%</w:t>
      </w:r>
      <w:r w:rsidR="00507C72" w:rsidRPr="0089798C">
        <w:rPr>
          <w:rStyle w:val="Lienhypertexte"/>
          <w:rFonts w:ascii="Times New Roman" w:hAnsi="Times New Roman"/>
          <w:color w:val="auto"/>
          <w:u w:val="none"/>
        </w:rPr>
        <w:t>)</w:t>
      </w:r>
      <w:r w:rsidRPr="0089798C">
        <w:rPr>
          <w:rStyle w:val="Lienhypertexte"/>
          <w:rFonts w:ascii="Times New Roman" w:hAnsi="Times New Roman"/>
          <w:color w:val="auto"/>
          <w:u w:val="none"/>
        </w:rPr>
        <w:t>, followed by retail (17%) and automotive (9%).</w:t>
      </w:r>
    </w:p>
    <w:p w:rsidR="00275807" w:rsidRPr="0089798C" w:rsidRDefault="00275807"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The conditions for the development of industrial spaces are still favorable. </w:t>
      </w:r>
      <w:r w:rsidR="00507C72" w:rsidRPr="0089798C">
        <w:rPr>
          <w:rStyle w:val="Lienhypertexte"/>
          <w:rFonts w:ascii="Times New Roman" w:hAnsi="Times New Roman"/>
          <w:color w:val="auto"/>
          <w:u w:val="none"/>
        </w:rPr>
        <w:t>Colliers International estimates</w:t>
      </w:r>
      <w:r w:rsidRPr="0089798C">
        <w:rPr>
          <w:rStyle w:val="Lienhypertexte"/>
          <w:rFonts w:ascii="Times New Roman" w:hAnsi="Times New Roman"/>
          <w:color w:val="auto"/>
          <w:u w:val="none"/>
        </w:rPr>
        <w:t xml:space="preserve"> that this year the stock will grow by </w:t>
      </w:r>
      <w:proofErr w:type="spellStart"/>
      <w:r w:rsidRPr="0089798C">
        <w:rPr>
          <w:rStyle w:val="Lienhypertexte"/>
          <w:rFonts w:ascii="Times New Roman" w:hAnsi="Times New Roman"/>
          <w:color w:val="auto"/>
          <w:u w:val="none"/>
        </w:rPr>
        <w:t>another</w:t>
      </w:r>
      <w:proofErr w:type="spellEnd"/>
      <w:r w:rsidRPr="0089798C">
        <w:rPr>
          <w:rStyle w:val="Lienhypertexte"/>
          <w:rFonts w:ascii="Times New Roman" w:hAnsi="Times New Roman"/>
          <w:color w:val="auto"/>
          <w:u w:val="none"/>
        </w:rPr>
        <w:t xml:space="preserve"> 700,000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nationwide</w:t>
      </w:r>
      <w:proofErr w:type="spellEnd"/>
      <w:r w:rsidRPr="0089798C">
        <w:rPr>
          <w:rStyle w:val="Lienhypertexte"/>
          <w:rFonts w:ascii="Times New Roman" w:hAnsi="Times New Roman"/>
          <w:color w:val="auto"/>
          <w:u w:val="none"/>
        </w:rPr>
        <w:t xml:space="preserve"> and </w:t>
      </w:r>
      <w:proofErr w:type="spellStart"/>
      <w:r w:rsidRPr="0089798C">
        <w:rPr>
          <w:rStyle w:val="Lienhypertexte"/>
          <w:rFonts w:ascii="Times New Roman" w:hAnsi="Times New Roman"/>
          <w:color w:val="auto"/>
          <w:u w:val="none"/>
        </w:rPr>
        <w:t>demand</w:t>
      </w:r>
      <w:proofErr w:type="spellEnd"/>
      <w:r w:rsidRPr="0089798C">
        <w:rPr>
          <w:rStyle w:val="Lienhypertexte"/>
          <w:rFonts w:ascii="Times New Roman" w:hAnsi="Times New Roman"/>
          <w:color w:val="auto"/>
          <w:u w:val="none"/>
        </w:rPr>
        <w:t xml:space="preserve"> will come from logistics, e-commerce and FMCG. The lack of infrastructure development will favor the concentration of spaces in the capital area, where deliveries of </w:t>
      </w:r>
      <w:proofErr w:type="spellStart"/>
      <w:r w:rsidRPr="0089798C">
        <w:rPr>
          <w:rStyle w:val="Lienhypertexte"/>
          <w:rFonts w:ascii="Times New Roman" w:hAnsi="Times New Roman"/>
          <w:color w:val="auto"/>
          <w:u w:val="none"/>
        </w:rPr>
        <w:t>almost</w:t>
      </w:r>
      <w:proofErr w:type="spellEnd"/>
      <w:r w:rsidRPr="0089798C">
        <w:rPr>
          <w:rStyle w:val="Lienhypertexte"/>
          <w:rFonts w:ascii="Times New Roman" w:hAnsi="Times New Roman"/>
          <w:color w:val="auto"/>
          <w:u w:val="none"/>
        </w:rPr>
        <w:t xml:space="preserve"> 400,000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are </w:t>
      </w:r>
      <w:proofErr w:type="spellStart"/>
      <w:r w:rsidRPr="0089798C">
        <w:rPr>
          <w:rStyle w:val="Lienhypertexte"/>
          <w:rFonts w:ascii="Times New Roman" w:hAnsi="Times New Roman"/>
          <w:color w:val="auto"/>
          <w:u w:val="none"/>
        </w:rPr>
        <w:t>expected</w:t>
      </w:r>
      <w:proofErr w:type="spellEnd"/>
      <w:r w:rsidRPr="0089798C">
        <w:rPr>
          <w:rStyle w:val="Lienhypertexte"/>
          <w:rFonts w:ascii="Times New Roman" w:hAnsi="Times New Roman"/>
          <w:color w:val="auto"/>
          <w:u w:val="none"/>
        </w:rPr>
        <w:t>, but the attention will also be directed to the central and western parts of the country that offer swift access to the highways in Hungary.</w:t>
      </w:r>
    </w:p>
    <w:p w:rsidR="00396952" w:rsidRPr="0089798C" w:rsidRDefault="00041BFD"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There is an increasing demand for production and warehousing spaces. Activity on the retail segment will be more subdued, but there is a consistent pipeline of projects coming to the market. Overall, the volume on the investment market is expected to surpass the EUR 1bn mark, a post-2008 maximum.</w:t>
      </w:r>
      <w:r w:rsidR="00340240" w:rsidRPr="0089798C">
        <w:rPr>
          <w:rStyle w:val="Lienhypertexte"/>
          <w:rFonts w:ascii="Times New Roman" w:hAnsi="Times New Roman"/>
          <w:color w:val="auto"/>
          <w:u w:val="none"/>
        </w:rPr>
        <w:t xml:space="preserve"> (</w:t>
      </w:r>
      <w:r w:rsidR="00396952" w:rsidRPr="0089798C">
        <w:rPr>
          <w:rStyle w:val="Lienhypertexte"/>
          <w:rFonts w:ascii="Times New Roman" w:hAnsi="Times New Roman"/>
          <w:color w:val="auto"/>
          <w:u w:val="none"/>
        </w:rPr>
        <w:t>Source</w:t>
      </w:r>
      <w:r w:rsidR="008D5FD9" w:rsidRPr="0089798C">
        <w:rPr>
          <w:rStyle w:val="Lienhypertexte"/>
          <w:rFonts w:ascii="Times New Roman" w:hAnsi="Times New Roman"/>
          <w:color w:val="auto"/>
          <w:u w:val="none"/>
        </w:rPr>
        <w:t>:</w:t>
      </w:r>
      <w:r w:rsidR="00396952" w:rsidRPr="0089798C">
        <w:rPr>
          <w:rStyle w:val="Lienhypertexte"/>
          <w:rFonts w:ascii="Times New Roman" w:hAnsi="Times New Roman"/>
          <w:color w:val="auto"/>
          <w:u w:val="none"/>
        </w:rPr>
        <w:t xml:space="preserve"> Colliers International Romania Research and Forecast Report 2018</w:t>
      </w:r>
      <w:r w:rsidR="00340240" w:rsidRPr="0089798C">
        <w:rPr>
          <w:rStyle w:val="Lienhypertexte"/>
          <w:rFonts w:ascii="Times New Roman" w:hAnsi="Times New Roman"/>
          <w:color w:val="auto"/>
          <w:u w:val="none"/>
        </w:rPr>
        <w:t>)</w:t>
      </w:r>
    </w:p>
    <w:p w:rsidR="004B2FE6" w:rsidRPr="00EA0AF0" w:rsidRDefault="004B2FE6" w:rsidP="005078C4">
      <w:pPr>
        <w:autoSpaceDE w:val="0"/>
        <w:autoSpaceDN w:val="0"/>
        <w:adjustRightInd w:val="0"/>
        <w:spacing w:after="0" w:line="240" w:lineRule="auto"/>
        <w:jc w:val="both"/>
        <w:rPr>
          <w:rStyle w:val="Lienhypertexte"/>
          <w:rFonts w:ascii="Times New Roman" w:hAnsi="Times New Roman"/>
          <w:b/>
          <w:color w:val="auto"/>
          <w:sz w:val="32"/>
          <w:szCs w:val="32"/>
          <w:u w:val="none"/>
          <w:lang w:val="en-US"/>
        </w:rPr>
      </w:pPr>
    </w:p>
    <w:p w:rsidR="005078C4" w:rsidRPr="00EA0AF0" w:rsidRDefault="00835B88" w:rsidP="005078C4">
      <w:pPr>
        <w:autoSpaceDE w:val="0"/>
        <w:autoSpaceDN w:val="0"/>
        <w:adjustRightInd w:val="0"/>
        <w:spacing w:after="0" w:line="240" w:lineRule="auto"/>
        <w:jc w:val="both"/>
        <w:rPr>
          <w:rStyle w:val="Lienhypertexte"/>
          <w:rFonts w:ascii="Times New Roman" w:hAnsi="Times New Roman"/>
          <w:b/>
          <w:color w:val="auto"/>
          <w:sz w:val="24"/>
          <w:szCs w:val="24"/>
          <w:u w:val="none"/>
          <w:lang w:val="en-US"/>
        </w:rPr>
      </w:pPr>
      <w:r w:rsidRPr="00EA0AF0">
        <w:rPr>
          <w:rStyle w:val="Lienhypertexte"/>
          <w:rFonts w:ascii="Times New Roman" w:hAnsi="Times New Roman"/>
          <w:b/>
          <w:color w:val="auto"/>
          <w:sz w:val="24"/>
          <w:szCs w:val="24"/>
          <w:u w:val="none"/>
          <w:lang w:val="en-US"/>
        </w:rPr>
        <w:t xml:space="preserve">4. </w:t>
      </w:r>
      <w:r w:rsidR="005078C4" w:rsidRPr="00EA0AF0">
        <w:rPr>
          <w:rStyle w:val="Lienhypertexte"/>
          <w:rFonts w:ascii="Times New Roman" w:hAnsi="Times New Roman"/>
          <w:b/>
          <w:color w:val="auto"/>
          <w:sz w:val="24"/>
          <w:szCs w:val="24"/>
          <w:u w:val="none"/>
          <w:lang w:val="en-US"/>
        </w:rPr>
        <w:t>Energy efficiency</w:t>
      </w:r>
      <w:r w:rsidR="00256589" w:rsidRPr="00EA0AF0">
        <w:rPr>
          <w:rStyle w:val="Lienhypertexte"/>
          <w:rFonts w:ascii="Times New Roman" w:hAnsi="Times New Roman"/>
          <w:b/>
          <w:color w:val="auto"/>
          <w:sz w:val="24"/>
          <w:szCs w:val="24"/>
          <w:u w:val="none"/>
          <w:lang w:val="en-US"/>
        </w:rPr>
        <w:t xml:space="preserve"> </w:t>
      </w:r>
    </w:p>
    <w:p w:rsidR="005078C4" w:rsidRPr="00CD6C4D" w:rsidRDefault="005078C4" w:rsidP="005078C4">
      <w:pPr>
        <w:autoSpaceDE w:val="0"/>
        <w:autoSpaceDN w:val="0"/>
        <w:adjustRightInd w:val="0"/>
        <w:spacing w:after="0" w:line="240" w:lineRule="auto"/>
        <w:jc w:val="both"/>
        <w:rPr>
          <w:rStyle w:val="Lienhypertexte"/>
          <w:rFonts w:ascii="Times New Roman" w:hAnsi="Times New Roman"/>
          <w:color w:val="auto"/>
          <w:sz w:val="16"/>
          <w:szCs w:val="16"/>
          <w:u w:val="none"/>
          <w:lang w:val="en-US"/>
        </w:rPr>
      </w:pPr>
    </w:p>
    <w:p w:rsidR="005078C4" w:rsidRPr="0089798C" w:rsidRDefault="005078C4"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Given the poor energy efficiency condition of the building stock, Romania is taking action to stimulate its renovation, focusing particu</w:t>
      </w:r>
      <w:r w:rsidRPr="0089798C">
        <w:rPr>
          <w:rStyle w:val="Lienhypertexte"/>
          <w:rFonts w:ascii="Times New Roman" w:hAnsi="Times New Roman"/>
          <w:color w:val="auto"/>
          <w:u w:val="none"/>
        </w:rPr>
        <w:softHyphen/>
        <w:t>larly on residential buildings. The Thermal Rehabilitation Programme, with a budget of EUR 8.8 billion for 2017, covers up to 80% of the costs incurred for thermal rehabilitation interventions of apartment blocks. However, the construction industry is facing considerable pressure, particularly in insulation and thermal rehabilitation, with 50,000 such workers being estimated to be needed by 2020 to satisfy this demand. To this end, both public and private training initiatives were introduced to upskill the workforce.</w:t>
      </w:r>
    </w:p>
    <w:p w:rsidR="005078C4" w:rsidRPr="0089798C" w:rsidRDefault="00691EE7"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Moreover, renovation and thermal rehabilitation of residential buildings also displays an important market potential, as around two-thirds of the dwellings are older than 35 years and lack effi</w:t>
      </w:r>
      <w:r w:rsidRPr="0089798C">
        <w:rPr>
          <w:rStyle w:val="Lienhypertexte"/>
          <w:rFonts w:ascii="Times New Roman" w:hAnsi="Times New Roman"/>
          <w:color w:val="auto"/>
          <w:u w:val="none"/>
        </w:rPr>
        <w:softHyphen/>
        <w:t xml:space="preserve">cient thermal insulation. </w:t>
      </w:r>
      <w:r w:rsidRPr="00CD6C4D">
        <w:rPr>
          <w:rStyle w:val="Lienhypertexte"/>
          <w:rFonts w:ascii="Times New Roman" w:hAnsi="Times New Roman"/>
          <w:color w:val="auto"/>
          <w:u w:val="none"/>
          <w:lang w:val="en-US"/>
        </w:rPr>
        <w:t>This market alone is estimated by the Ministry of Regional Development to be worth EUR 1.5 billion yearly, if backed by proper government support and EU funding.</w:t>
      </w:r>
      <w:r w:rsidR="00CD6C4D" w:rsidRPr="00CD6C4D">
        <w:rPr>
          <w:rStyle w:val="Lienhypertexte"/>
          <w:rFonts w:ascii="Times New Roman" w:hAnsi="Times New Roman"/>
          <w:color w:val="auto"/>
          <w:u w:val="none"/>
          <w:lang w:val="en-US"/>
        </w:rPr>
        <w:t xml:space="preserve"> </w:t>
      </w:r>
      <w:r w:rsidR="004B2FE6" w:rsidRPr="0089798C">
        <w:rPr>
          <w:rStyle w:val="Lienhypertexte"/>
          <w:rFonts w:ascii="Times New Roman" w:hAnsi="Times New Roman"/>
          <w:color w:val="auto"/>
          <w:u w:val="none"/>
        </w:rPr>
        <w:t>(</w:t>
      </w:r>
      <w:r w:rsidR="005078C4" w:rsidRPr="0089798C">
        <w:rPr>
          <w:rStyle w:val="Lienhypertexte"/>
          <w:rFonts w:ascii="Times New Roman" w:hAnsi="Times New Roman"/>
          <w:color w:val="auto"/>
          <w:u w:val="none"/>
        </w:rPr>
        <w:t xml:space="preserve">Source: </w:t>
      </w:r>
      <w:proofErr w:type="spellStart"/>
      <w:r w:rsidR="005078C4" w:rsidRPr="0089798C">
        <w:rPr>
          <w:rStyle w:val="Lienhypertexte"/>
          <w:rFonts w:ascii="Times New Roman" w:hAnsi="Times New Roman"/>
          <w:color w:val="auto"/>
          <w:u w:val="none"/>
        </w:rPr>
        <w:t>European</w:t>
      </w:r>
      <w:proofErr w:type="spellEnd"/>
      <w:r w:rsidR="005078C4" w:rsidRPr="0089798C">
        <w:rPr>
          <w:rStyle w:val="Lienhypertexte"/>
          <w:rFonts w:ascii="Times New Roman" w:hAnsi="Times New Roman"/>
          <w:color w:val="auto"/>
          <w:u w:val="none"/>
        </w:rPr>
        <w:t xml:space="preserve"> Commission -</w:t>
      </w:r>
      <w:r w:rsidR="005078C4" w:rsidRPr="0089798C">
        <w:rPr>
          <w:rStyle w:val="Lienhypertexte"/>
          <w:color w:val="auto"/>
          <w:u w:val="none"/>
        </w:rPr>
        <w:t xml:space="preserve"> </w:t>
      </w:r>
      <w:proofErr w:type="spellStart"/>
      <w:r w:rsidR="005078C4" w:rsidRPr="0089798C">
        <w:rPr>
          <w:rStyle w:val="Lienhypertexte"/>
          <w:rFonts w:ascii="Times New Roman" w:hAnsi="Times New Roman"/>
          <w:color w:val="auto"/>
          <w:u w:val="none"/>
        </w:rPr>
        <w:t>European</w:t>
      </w:r>
      <w:proofErr w:type="spellEnd"/>
      <w:r w:rsidR="005078C4" w:rsidRPr="0089798C">
        <w:rPr>
          <w:rStyle w:val="Lienhypertexte"/>
          <w:rFonts w:ascii="Times New Roman" w:hAnsi="Times New Roman"/>
          <w:color w:val="auto"/>
          <w:u w:val="none"/>
        </w:rPr>
        <w:t xml:space="preserve"> Construction Sector Observatory, Country profile Romania</w:t>
      </w:r>
      <w:r w:rsidR="004B2FE6" w:rsidRPr="0089798C">
        <w:rPr>
          <w:rStyle w:val="Lienhypertexte"/>
          <w:rFonts w:ascii="Times New Roman" w:hAnsi="Times New Roman"/>
          <w:color w:val="auto"/>
          <w:u w:val="none"/>
        </w:rPr>
        <w:t xml:space="preserve">, </w:t>
      </w:r>
      <w:r w:rsidR="005078C4" w:rsidRPr="0089798C">
        <w:rPr>
          <w:rStyle w:val="Lienhypertexte"/>
          <w:rFonts w:ascii="Times New Roman" w:hAnsi="Times New Roman"/>
          <w:color w:val="auto"/>
          <w:u w:val="none"/>
        </w:rPr>
        <w:t>June 2018</w:t>
      </w:r>
      <w:r w:rsidR="004B2FE6" w:rsidRPr="0089798C">
        <w:rPr>
          <w:rStyle w:val="Lienhypertexte"/>
          <w:rFonts w:ascii="Times New Roman" w:hAnsi="Times New Roman"/>
          <w:color w:val="auto"/>
          <w:u w:val="none"/>
        </w:rPr>
        <w:t>).</w:t>
      </w:r>
    </w:p>
    <w:p w:rsidR="004B2FE6" w:rsidRPr="0089798C" w:rsidRDefault="004B2FE6"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As the office market continues to mature, the standards also continue to improve. Developers are increasingly focused on the efficiency and long term sustainability of their buildings, while tenants are also becoming pickier when choosing a location. CSR requirements for domestic foreign-owned companies mean an increased attention to environment friendliness and resource efficiency throughout a building’s whole life cycle, from planning to construction to operation. As such, green certifications have become almost mandatory for a successful high tier real estate project. The developers obtain green certifications, both for BREEAM (Building Research Establishment’s Environmental Assessment Method) and LEED (Leadership in Energy and Environmental Design) standards. (Source: Colliers International Romania Research and Forecast Report 2018)</w:t>
      </w:r>
    </w:p>
    <w:p w:rsidR="004B2FE6" w:rsidRPr="00EA0AF0" w:rsidRDefault="004B2FE6" w:rsidP="005078C4">
      <w:pPr>
        <w:autoSpaceDE w:val="0"/>
        <w:autoSpaceDN w:val="0"/>
        <w:adjustRightInd w:val="0"/>
        <w:spacing w:after="0" w:line="240" w:lineRule="auto"/>
        <w:rPr>
          <w:rStyle w:val="Lienhypertexte"/>
          <w:rFonts w:ascii="Times New Roman" w:hAnsi="Times New Roman"/>
          <w:b/>
          <w:color w:val="auto"/>
          <w:u w:val="none"/>
          <w:lang w:val="en-US"/>
        </w:rPr>
      </w:pPr>
    </w:p>
    <w:p w:rsidR="005078C4" w:rsidRPr="00EA0AF0" w:rsidRDefault="005078C4" w:rsidP="005078C4">
      <w:pPr>
        <w:autoSpaceDE w:val="0"/>
        <w:autoSpaceDN w:val="0"/>
        <w:adjustRightInd w:val="0"/>
        <w:spacing w:after="0" w:line="240" w:lineRule="auto"/>
        <w:rPr>
          <w:rStyle w:val="Lienhypertexte"/>
          <w:rFonts w:ascii="Times New Roman" w:hAnsi="Times New Roman"/>
          <w:b/>
          <w:color w:val="auto"/>
          <w:sz w:val="24"/>
          <w:szCs w:val="24"/>
          <w:u w:val="none"/>
          <w:lang w:val="en-US"/>
        </w:rPr>
      </w:pPr>
      <w:r w:rsidRPr="00EA0AF0">
        <w:rPr>
          <w:rStyle w:val="Lienhypertexte"/>
          <w:rFonts w:ascii="Times New Roman" w:hAnsi="Times New Roman"/>
          <w:b/>
          <w:color w:val="auto"/>
          <w:sz w:val="24"/>
          <w:szCs w:val="24"/>
          <w:u w:val="none"/>
          <w:lang w:val="en-US"/>
        </w:rPr>
        <w:t xml:space="preserve">Green certifications market </w:t>
      </w:r>
    </w:p>
    <w:p w:rsidR="005078C4" w:rsidRPr="00CD6C4D" w:rsidRDefault="005078C4" w:rsidP="005078C4">
      <w:pPr>
        <w:autoSpaceDE w:val="0"/>
        <w:autoSpaceDN w:val="0"/>
        <w:adjustRightInd w:val="0"/>
        <w:spacing w:after="0" w:line="240" w:lineRule="auto"/>
        <w:rPr>
          <w:rFonts w:ascii="Times New Roman" w:hAnsi="Times New Roman"/>
          <w:sz w:val="16"/>
          <w:szCs w:val="16"/>
          <w:lang w:val="en-US"/>
        </w:rPr>
      </w:pPr>
    </w:p>
    <w:p w:rsidR="005078C4" w:rsidRPr="0089798C" w:rsidRDefault="005078C4" w:rsidP="0089798C">
      <w:pPr>
        <w:spacing w:after="0"/>
        <w:jc w:val="both"/>
        <w:rPr>
          <w:rStyle w:val="Lienhypertexte"/>
          <w:rFonts w:ascii="Times New Roman" w:hAnsi="Times New Roman"/>
          <w:color w:val="auto"/>
          <w:u w:val="none"/>
        </w:rPr>
      </w:pPr>
      <w:r w:rsidRPr="00954D9F">
        <w:rPr>
          <w:rStyle w:val="Lienhypertexte"/>
          <w:rFonts w:ascii="Times New Roman" w:hAnsi="Times New Roman"/>
          <w:color w:val="auto"/>
          <w:u w:val="none"/>
          <w:lang w:val="en-US"/>
        </w:rPr>
        <w:t>I</w:t>
      </w:r>
      <w:r w:rsidR="004B2FE6" w:rsidRPr="00954D9F">
        <w:rPr>
          <w:rStyle w:val="Lienhypertexte"/>
          <w:rFonts w:ascii="Times New Roman" w:hAnsi="Times New Roman"/>
          <w:color w:val="auto"/>
          <w:u w:val="none"/>
          <w:lang w:val="en-US"/>
        </w:rPr>
        <w:t>n Bucharest l</w:t>
      </w:r>
      <w:r w:rsidRPr="00954D9F">
        <w:rPr>
          <w:rStyle w:val="Lienhypertexte"/>
          <w:rFonts w:ascii="Times New Roman" w:hAnsi="Times New Roman"/>
          <w:color w:val="auto"/>
          <w:u w:val="none"/>
          <w:lang w:val="en-US"/>
        </w:rPr>
        <w:t xml:space="preserve">ast year 39 green certifications </w:t>
      </w:r>
      <w:r w:rsidR="004B2FE6" w:rsidRPr="00954D9F">
        <w:rPr>
          <w:rStyle w:val="Lienhypertexte"/>
          <w:rFonts w:ascii="Times New Roman" w:hAnsi="Times New Roman"/>
          <w:color w:val="auto"/>
          <w:u w:val="none"/>
          <w:lang w:val="en-US"/>
        </w:rPr>
        <w:t xml:space="preserve">were </w:t>
      </w:r>
      <w:r w:rsidRPr="00954D9F">
        <w:rPr>
          <w:rStyle w:val="Lienhypertexte"/>
          <w:rFonts w:ascii="Times New Roman" w:hAnsi="Times New Roman"/>
          <w:color w:val="auto"/>
          <w:u w:val="none"/>
          <w:lang w:val="en-US"/>
        </w:rPr>
        <w:t>obtained by both buildings yet to be delivered and those already in use</w:t>
      </w:r>
      <w:r w:rsidRPr="0089798C">
        <w:rPr>
          <w:rStyle w:val="Lienhypertexte"/>
          <w:rFonts w:ascii="Times New Roman" w:hAnsi="Times New Roman"/>
          <w:color w:val="auto"/>
          <w:u w:val="none"/>
        </w:rPr>
        <w:t xml:space="preserve">. This </w:t>
      </w:r>
      <w:r w:rsidR="004B2FE6" w:rsidRPr="0089798C">
        <w:rPr>
          <w:rStyle w:val="Lienhypertexte"/>
          <w:rFonts w:ascii="Times New Roman" w:hAnsi="Times New Roman"/>
          <w:color w:val="auto"/>
          <w:u w:val="none"/>
        </w:rPr>
        <w:t xml:space="preserve">is </w:t>
      </w:r>
      <w:r w:rsidRPr="0089798C">
        <w:rPr>
          <w:rStyle w:val="Lienhypertexte"/>
          <w:rFonts w:ascii="Times New Roman" w:hAnsi="Times New Roman"/>
          <w:color w:val="auto"/>
          <w:u w:val="none"/>
        </w:rPr>
        <w:t>an increase over 2016’s already record-setting result of 29. Meanwhile, several large office buildings (</w:t>
      </w:r>
      <w:proofErr w:type="spellStart"/>
      <w:r w:rsidRPr="0089798C">
        <w:rPr>
          <w:rStyle w:val="Lienhypertexte"/>
          <w:rFonts w:ascii="Times New Roman" w:hAnsi="Times New Roman"/>
          <w:color w:val="auto"/>
          <w:u w:val="none"/>
        </w:rPr>
        <w:t>around</w:t>
      </w:r>
      <w:proofErr w:type="spellEnd"/>
      <w:r w:rsidRPr="0089798C">
        <w:rPr>
          <w:rStyle w:val="Lienhypertexte"/>
          <w:rFonts w:ascii="Times New Roman" w:hAnsi="Times New Roman"/>
          <w:color w:val="auto"/>
          <w:u w:val="none"/>
        </w:rPr>
        <w:t xml:space="preserve"> the 50,000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GLA) </w:t>
      </w:r>
      <w:proofErr w:type="spellStart"/>
      <w:r w:rsidRPr="0089798C">
        <w:rPr>
          <w:rStyle w:val="Lienhypertexte"/>
          <w:rFonts w:ascii="Times New Roman" w:hAnsi="Times New Roman"/>
          <w:color w:val="auto"/>
          <w:u w:val="none"/>
        </w:rPr>
        <w:t>were</w:t>
      </w:r>
      <w:proofErr w:type="spellEnd"/>
      <w:r w:rsidRPr="0089798C">
        <w:rPr>
          <w:rStyle w:val="Lienhypertexte"/>
          <w:rFonts w:ascii="Times New Roman" w:hAnsi="Times New Roman"/>
          <w:color w:val="auto"/>
          <w:u w:val="none"/>
        </w:rPr>
        <w:t xml:space="preserve"> </w:t>
      </w:r>
      <w:proofErr w:type="spellStart"/>
      <w:r w:rsidRPr="0089798C">
        <w:rPr>
          <w:rStyle w:val="Lienhypertexte"/>
          <w:rFonts w:ascii="Times New Roman" w:hAnsi="Times New Roman"/>
          <w:color w:val="auto"/>
          <w:u w:val="none"/>
        </w:rPr>
        <w:t>certified</w:t>
      </w:r>
      <w:proofErr w:type="spellEnd"/>
      <w:r w:rsidRPr="0089798C">
        <w:rPr>
          <w:rStyle w:val="Lienhypertexte"/>
          <w:rFonts w:ascii="Times New Roman" w:hAnsi="Times New Roman"/>
          <w:color w:val="auto"/>
          <w:u w:val="none"/>
        </w:rPr>
        <w:t xml:space="preserve"> during last year, taking the grand total </w:t>
      </w:r>
      <w:proofErr w:type="spellStart"/>
      <w:r w:rsidRPr="0089798C">
        <w:rPr>
          <w:rStyle w:val="Lienhypertexte"/>
          <w:rFonts w:ascii="Times New Roman" w:hAnsi="Times New Roman"/>
          <w:color w:val="auto"/>
          <w:u w:val="none"/>
        </w:rPr>
        <w:t>towards</w:t>
      </w:r>
      <w:proofErr w:type="spellEnd"/>
      <w:r w:rsidRPr="0089798C">
        <w:rPr>
          <w:rStyle w:val="Lienhypertexte"/>
          <w:rFonts w:ascii="Times New Roman" w:hAnsi="Times New Roman"/>
          <w:color w:val="auto"/>
          <w:u w:val="none"/>
        </w:rPr>
        <w:t xml:space="preserve"> 1.7 million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of </w:t>
      </w:r>
      <w:proofErr w:type="spellStart"/>
      <w:r w:rsidRPr="0089798C">
        <w:rPr>
          <w:rStyle w:val="Lienhypertexte"/>
          <w:rFonts w:ascii="Times New Roman" w:hAnsi="Times New Roman"/>
          <w:color w:val="auto"/>
          <w:u w:val="none"/>
        </w:rPr>
        <w:t>projects</w:t>
      </w:r>
      <w:proofErr w:type="spellEnd"/>
      <w:r w:rsidRPr="0089798C">
        <w:rPr>
          <w:rStyle w:val="Lienhypertexte"/>
          <w:rFonts w:ascii="Times New Roman" w:hAnsi="Times New Roman"/>
          <w:color w:val="auto"/>
          <w:u w:val="none"/>
        </w:rPr>
        <w:t xml:space="preserve"> – built or in various stages of execution – with green certifications. This would suggest that the total surface of green certified office buildings is around half of the nationwide total</w:t>
      </w:r>
      <w:r w:rsidR="004B2FE6"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Basically, every new office building will seek a green</w:t>
      </w:r>
      <w:r w:rsidR="004B2FE6" w:rsidRPr="0089798C">
        <w:rPr>
          <w:rStyle w:val="Lienhypertexte"/>
          <w:rFonts w:ascii="Times New Roman" w:hAnsi="Times New Roman"/>
          <w:color w:val="auto"/>
          <w:u w:val="none"/>
        </w:rPr>
        <w:t xml:space="preserve"> </w:t>
      </w:r>
      <w:r w:rsidRPr="0089798C">
        <w:rPr>
          <w:rStyle w:val="Lienhypertexte"/>
          <w:rFonts w:ascii="Times New Roman" w:hAnsi="Times New Roman"/>
          <w:color w:val="auto"/>
          <w:u w:val="none"/>
        </w:rPr>
        <w:t xml:space="preserve">certification as this is almost a mandatory requirement </w:t>
      </w:r>
      <w:r w:rsidRPr="0089798C">
        <w:rPr>
          <w:rStyle w:val="Lienhypertexte"/>
          <w:rFonts w:ascii="Times New Roman" w:hAnsi="Times New Roman"/>
          <w:color w:val="auto"/>
          <w:u w:val="none"/>
        </w:rPr>
        <w:lastRenderedPageBreak/>
        <w:t>for a good positioning on the market. Meanwhile, older office schemes, say, from a decade ago or even older, are also seeking to obtain green certifications for existing/in-use projects in order to remain attractive for tenants. The most certifications (24 or 61% of total) were for office buildings, though the overall share has decreased compared to previous year as developers from other categories of developers are seeking to have a green stamp on their building. The number of retail-certified buildings grew (12 or a share of 31%). A hotel and two mixed-use projects rounded up the grand total.</w:t>
      </w:r>
    </w:p>
    <w:p w:rsidR="00256589" w:rsidRPr="0089798C" w:rsidRDefault="005078C4" w:rsidP="0089798C">
      <w:pPr>
        <w:spacing w:after="0"/>
        <w:jc w:val="both"/>
        <w:rPr>
          <w:rStyle w:val="Lienhypertexte"/>
          <w:rFonts w:ascii="Times New Roman" w:hAnsi="Times New Roman"/>
          <w:color w:val="auto"/>
          <w:u w:val="none"/>
        </w:rPr>
      </w:pPr>
      <w:r w:rsidRPr="0089798C">
        <w:rPr>
          <w:rStyle w:val="Lienhypertexte"/>
          <w:rFonts w:ascii="Times New Roman" w:hAnsi="Times New Roman"/>
          <w:color w:val="auto"/>
          <w:u w:val="none"/>
        </w:rPr>
        <w:t xml:space="preserve">As real estate projects outside Bucharest have increased in the last years, so too has interest in green certifications in 2017. While Bucharest has </w:t>
      </w:r>
      <w:proofErr w:type="spellStart"/>
      <w:r w:rsidRPr="0089798C">
        <w:rPr>
          <w:rStyle w:val="Lienhypertexte"/>
          <w:rFonts w:ascii="Times New Roman" w:hAnsi="Times New Roman"/>
          <w:color w:val="auto"/>
          <w:u w:val="none"/>
        </w:rPr>
        <w:t>nearly</w:t>
      </w:r>
      <w:proofErr w:type="spellEnd"/>
      <w:r w:rsidRPr="0089798C">
        <w:rPr>
          <w:rStyle w:val="Lienhypertexte"/>
          <w:rFonts w:ascii="Times New Roman" w:hAnsi="Times New Roman"/>
          <w:color w:val="auto"/>
          <w:u w:val="none"/>
        </w:rPr>
        <w:t xml:space="preserve"> 1.7 million </w:t>
      </w:r>
      <w:proofErr w:type="spellStart"/>
      <w:r w:rsidRPr="0089798C">
        <w:rPr>
          <w:rStyle w:val="Lienhypertexte"/>
          <w:rFonts w:ascii="Times New Roman" w:hAnsi="Times New Roman"/>
          <w:color w:val="auto"/>
          <w:u w:val="none"/>
        </w:rPr>
        <w:t>sqm</w:t>
      </w:r>
      <w:proofErr w:type="spellEnd"/>
      <w:r w:rsidRPr="0089798C">
        <w:rPr>
          <w:rStyle w:val="Lienhypertexte"/>
          <w:rFonts w:ascii="Times New Roman" w:hAnsi="Times New Roman"/>
          <w:color w:val="auto"/>
          <w:u w:val="none"/>
        </w:rPr>
        <w:t xml:space="preserve"> in LEED or BREEAM certified buildings, the other regional cities put together neared this level and we would expect that by the end of this year these could surpass the capital.</w:t>
      </w:r>
      <w:r w:rsidR="00256589" w:rsidRPr="0089798C">
        <w:rPr>
          <w:rStyle w:val="Lienhypertexte"/>
          <w:rFonts w:ascii="Times New Roman" w:hAnsi="Times New Roman"/>
          <w:color w:val="auto"/>
          <w:u w:val="none"/>
        </w:rPr>
        <w:t xml:space="preserve"> (Source: Colliers International Romania Research and Forecast Report 2018)</w:t>
      </w:r>
    </w:p>
    <w:p w:rsidR="00F93D29" w:rsidRPr="00EA0AF0" w:rsidRDefault="00F93D29" w:rsidP="00F93D29">
      <w:pPr>
        <w:autoSpaceDE w:val="0"/>
        <w:autoSpaceDN w:val="0"/>
        <w:adjustRightInd w:val="0"/>
        <w:spacing w:after="0" w:line="240" w:lineRule="auto"/>
        <w:jc w:val="both"/>
        <w:rPr>
          <w:rStyle w:val="Lienhypertexte"/>
          <w:rFonts w:ascii="Times New Roman" w:hAnsi="Times New Roman"/>
          <w:color w:val="auto"/>
          <w:u w:val="none"/>
          <w:lang w:val="en-US"/>
        </w:rPr>
      </w:pPr>
    </w:p>
    <w:p w:rsidR="003D1886" w:rsidRPr="00EA0AF0" w:rsidRDefault="00835B88" w:rsidP="00954D9F">
      <w:pPr>
        <w:spacing w:after="0" w:line="240" w:lineRule="auto"/>
        <w:jc w:val="both"/>
        <w:rPr>
          <w:rFonts w:ascii="Times New Roman" w:eastAsia="MS Mincho" w:hAnsi="Times New Roman"/>
          <w:b/>
          <w:sz w:val="24"/>
          <w:szCs w:val="24"/>
          <w:lang w:val="en-US" w:eastAsia="fr-FR"/>
        </w:rPr>
      </w:pPr>
      <w:r w:rsidRPr="00EA0AF0">
        <w:rPr>
          <w:rFonts w:ascii="Times New Roman" w:eastAsia="MS Mincho" w:hAnsi="Times New Roman"/>
          <w:b/>
          <w:sz w:val="24"/>
          <w:szCs w:val="24"/>
          <w:lang w:val="en-US" w:eastAsia="fr-FR"/>
        </w:rPr>
        <w:t xml:space="preserve">5. </w:t>
      </w:r>
      <w:r w:rsidR="003D1886" w:rsidRPr="00EA0AF0">
        <w:rPr>
          <w:rFonts w:ascii="Times New Roman" w:eastAsia="MS Mincho" w:hAnsi="Times New Roman"/>
          <w:b/>
          <w:sz w:val="24"/>
          <w:szCs w:val="24"/>
          <w:lang w:val="en-US" w:eastAsia="fr-FR"/>
        </w:rPr>
        <w:t>Focus on construction materials</w:t>
      </w:r>
    </w:p>
    <w:p w:rsidR="003D1886" w:rsidRPr="00EA0AF0" w:rsidRDefault="003D1886" w:rsidP="0051273A">
      <w:pPr>
        <w:rPr>
          <w:rFonts w:ascii="Times New Roman" w:eastAsia="MS Mincho" w:hAnsi="Times New Roman"/>
          <w:b/>
          <w:sz w:val="16"/>
          <w:szCs w:val="16"/>
          <w:lang w:val="en-US" w:eastAsia="fr-FR"/>
        </w:rPr>
      </w:pPr>
    </w:p>
    <w:p w:rsidR="003A02BA" w:rsidRPr="00EA0AF0" w:rsidRDefault="00835B88" w:rsidP="0051273A">
      <w:pPr>
        <w:rPr>
          <w:rStyle w:val="Lienhypertexte"/>
          <w:rFonts w:ascii="Times New Roman" w:hAnsi="Times New Roman"/>
          <w:color w:val="auto"/>
          <w:u w:val="none"/>
          <w:lang w:val="en-US"/>
        </w:rPr>
      </w:pPr>
      <w:r w:rsidRPr="00EA0AF0">
        <w:rPr>
          <w:rStyle w:val="Lienhypertexte"/>
          <w:rFonts w:ascii="Times New Roman" w:hAnsi="Times New Roman"/>
          <w:color w:val="auto"/>
          <w:u w:val="none"/>
          <w:lang w:val="en-US"/>
        </w:rPr>
        <w:t>A</w:t>
      </w:r>
      <w:r w:rsidR="003A02BA" w:rsidRPr="00EA0AF0">
        <w:rPr>
          <w:rStyle w:val="Lienhypertexte"/>
          <w:rFonts w:ascii="Times New Roman" w:hAnsi="Times New Roman"/>
          <w:color w:val="auto"/>
          <w:u w:val="none"/>
          <w:lang w:val="en-US"/>
        </w:rPr>
        <w:t xml:space="preserve"> </w:t>
      </w:r>
      <w:r w:rsidRPr="00EA0AF0">
        <w:rPr>
          <w:rStyle w:val="Lienhypertexte"/>
          <w:rFonts w:ascii="Times New Roman" w:hAnsi="Times New Roman"/>
          <w:color w:val="auto"/>
          <w:u w:val="none"/>
          <w:lang w:val="en-US"/>
        </w:rPr>
        <w:t xml:space="preserve">lot of materials </w:t>
      </w:r>
      <w:r w:rsidR="003C1A1B" w:rsidRPr="00EA0AF0">
        <w:rPr>
          <w:rStyle w:val="Lienhypertexte"/>
          <w:rFonts w:ascii="Times New Roman" w:hAnsi="Times New Roman"/>
          <w:color w:val="auto"/>
          <w:u w:val="none"/>
          <w:lang w:val="en-US"/>
        </w:rPr>
        <w:t xml:space="preserve">are produced in </w:t>
      </w:r>
      <w:proofErr w:type="gramStart"/>
      <w:r w:rsidR="003C1A1B" w:rsidRPr="00EA0AF0">
        <w:rPr>
          <w:rStyle w:val="Lienhypertexte"/>
          <w:rFonts w:ascii="Times New Roman" w:hAnsi="Times New Roman"/>
          <w:color w:val="auto"/>
          <w:u w:val="none"/>
          <w:lang w:val="en-US"/>
        </w:rPr>
        <w:t>Romania,</w:t>
      </w:r>
      <w:proofErr w:type="gramEnd"/>
      <w:r w:rsidR="003C1A1B" w:rsidRPr="00EA0AF0">
        <w:rPr>
          <w:rStyle w:val="Lienhypertexte"/>
          <w:rFonts w:ascii="Times New Roman" w:hAnsi="Times New Roman"/>
          <w:color w:val="auto"/>
          <w:u w:val="none"/>
          <w:lang w:val="en-US"/>
        </w:rPr>
        <w:t xml:space="preserve"> howev</w:t>
      </w:r>
      <w:r w:rsidR="003A02BA" w:rsidRPr="00EA0AF0">
        <w:rPr>
          <w:rStyle w:val="Lienhypertexte"/>
          <w:rFonts w:ascii="Times New Roman" w:hAnsi="Times New Roman"/>
          <w:color w:val="auto"/>
          <w:u w:val="none"/>
          <w:lang w:val="en-US"/>
        </w:rPr>
        <w:t xml:space="preserve">er </w:t>
      </w:r>
      <w:r w:rsidR="00823FA4" w:rsidRPr="00EA0AF0">
        <w:rPr>
          <w:rStyle w:val="Lienhypertexte"/>
          <w:rFonts w:ascii="Times New Roman" w:hAnsi="Times New Roman"/>
          <w:color w:val="auto"/>
          <w:u w:val="none"/>
          <w:lang w:val="en-US"/>
        </w:rPr>
        <w:t xml:space="preserve">some categories or specific materials </w:t>
      </w:r>
      <w:r w:rsidR="006C6646" w:rsidRPr="00EA0AF0">
        <w:rPr>
          <w:rStyle w:val="Lienhypertexte"/>
          <w:rFonts w:ascii="Times New Roman" w:hAnsi="Times New Roman"/>
          <w:color w:val="auto"/>
          <w:u w:val="none"/>
          <w:lang w:val="en-US"/>
        </w:rPr>
        <w:t>are</w:t>
      </w:r>
      <w:r w:rsidR="003A02BA" w:rsidRPr="00EA0AF0">
        <w:rPr>
          <w:rStyle w:val="Lienhypertexte"/>
          <w:rFonts w:ascii="Times New Roman" w:hAnsi="Times New Roman"/>
          <w:color w:val="auto"/>
          <w:u w:val="none"/>
          <w:lang w:val="en-US"/>
        </w:rPr>
        <w:t xml:space="preserve"> imported</w:t>
      </w:r>
      <w:r w:rsidR="006C6646" w:rsidRPr="00EA0AF0">
        <w:rPr>
          <w:rStyle w:val="Lienhypertexte"/>
          <w:rFonts w:ascii="Times New Roman" w:hAnsi="Times New Roman"/>
          <w:color w:val="auto"/>
          <w:u w:val="none"/>
          <w:lang w:val="en-US"/>
        </w:rPr>
        <w:t>.</w:t>
      </w:r>
      <w:r w:rsidR="00823FA4" w:rsidRPr="00EA0AF0">
        <w:rPr>
          <w:rStyle w:val="Lienhypertexte"/>
          <w:rFonts w:ascii="Times New Roman" w:hAnsi="Times New Roman"/>
          <w:color w:val="auto"/>
          <w:u w:val="none"/>
          <w:lang w:val="en-US"/>
        </w:rPr>
        <w:t xml:space="preserve"> </w:t>
      </w:r>
    </w:p>
    <w:p w:rsidR="00F26A77" w:rsidRPr="00EA0AF0" w:rsidRDefault="00D71364" w:rsidP="00835B88">
      <w:pPr>
        <w:spacing w:after="0"/>
        <w:rPr>
          <w:rStyle w:val="Lienhypertexte"/>
          <w:rFonts w:ascii="Times New Roman" w:hAnsi="Times New Roman"/>
          <w:b/>
          <w:color w:val="auto"/>
          <w:sz w:val="24"/>
          <w:szCs w:val="24"/>
          <w:u w:val="none"/>
          <w:lang w:val="en-US"/>
        </w:rPr>
      </w:pPr>
      <w:r>
        <w:rPr>
          <w:rStyle w:val="Lienhypertexte"/>
          <w:rFonts w:ascii="Times New Roman" w:hAnsi="Times New Roman"/>
          <w:b/>
          <w:color w:val="auto"/>
          <w:sz w:val="24"/>
          <w:szCs w:val="24"/>
          <w:u w:val="none"/>
          <w:lang w:val="en-US"/>
        </w:rPr>
        <w:t xml:space="preserve">5.1. </w:t>
      </w:r>
      <w:r w:rsidR="00F26A77" w:rsidRPr="00EA0AF0">
        <w:rPr>
          <w:rStyle w:val="Lienhypertexte"/>
          <w:rFonts w:ascii="Times New Roman" w:hAnsi="Times New Roman"/>
          <w:b/>
          <w:color w:val="auto"/>
          <w:sz w:val="24"/>
          <w:szCs w:val="24"/>
          <w:u w:val="none"/>
          <w:lang w:val="en-US"/>
        </w:rPr>
        <w:t>Local production</w:t>
      </w:r>
    </w:p>
    <w:p w:rsidR="00835B88" w:rsidRPr="00EA0AF0" w:rsidRDefault="00835B88" w:rsidP="00835B88">
      <w:pPr>
        <w:spacing w:after="0"/>
        <w:rPr>
          <w:rStyle w:val="Lienhypertexte"/>
          <w:rFonts w:ascii="Times New Roman" w:hAnsi="Times New Roman"/>
          <w:b/>
          <w:color w:val="auto"/>
          <w:sz w:val="16"/>
          <w:szCs w:val="16"/>
          <w:u w:val="none"/>
          <w:lang w:val="en-US"/>
        </w:rPr>
      </w:pPr>
    </w:p>
    <w:p w:rsidR="002336B9" w:rsidRPr="00D71364" w:rsidRDefault="002336B9" w:rsidP="00C93076">
      <w:pPr>
        <w:spacing w:after="0"/>
        <w:jc w:val="both"/>
        <w:rPr>
          <w:rStyle w:val="Lienhypertexte"/>
          <w:rFonts w:ascii="Times New Roman" w:hAnsi="Times New Roman"/>
          <w:color w:val="auto"/>
          <w:u w:val="none"/>
        </w:rPr>
      </w:pPr>
      <w:r w:rsidRPr="00D71364">
        <w:rPr>
          <w:rStyle w:val="Lienhypertexte"/>
          <w:rFonts w:ascii="Times New Roman" w:hAnsi="Times New Roman"/>
          <w:color w:val="auto"/>
          <w:u w:val="none"/>
          <w:lang w:val="en-US"/>
        </w:rPr>
        <w:t>The</w:t>
      </w:r>
      <w:r w:rsidR="00A66AD4" w:rsidRPr="00D71364">
        <w:rPr>
          <w:rStyle w:val="Lienhypertexte"/>
          <w:rFonts w:ascii="Times New Roman" w:hAnsi="Times New Roman"/>
          <w:color w:val="auto"/>
          <w:u w:val="none"/>
          <w:lang w:val="en-US"/>
        </w:rPr>
        <w:t xml:space="preserve">re is an important local production of all kinds of construction materials. The main </w:t>
      </w:r>
      <w:r w:rsidRPr="00D71364">
        <w:rPr>
          <w:rStyle w:val="Lienhypertexte"/>
          <w:rFonts w:ascii="Times New Roman" w:hAnsi="Times New Roman"/>
          <w:color w:val="auto"/>
          <w:u w:val="none"/>
          <w:lang w:val="en-US"/>
        </w:rPr>
        <w:t>players are</w:t>
      </w:r>
      <w:r w:rsidR="00BF51EE" w:rsidRPr="00D71364">
        <w:rPr>
          <w:rStyle w:val="Lienhypertexte"/>
          <w:rFonts w:ascii="Times New Roman" w:hAnsi="Times New Roman"/>
          <w:color w:val="auto"/>
          <w:u w:val="none"/>
          <w:lang w:val="en-US"/>
        </w:rPr>
        <w:t xml:space="preserve"> the </w:t>
      </w:r>
      <w:r w:rsidRPr="00D71364">
        <w:rPr>
          <w:rStyle w:val="Lienhypertexte"/>
          <w:rFonts w:ascii="Times New Roman" w:hAnsi="Times New Roman"/>
          <w:color w:val="auto"/>
          <w:u w:val="none"/>
          <w:lang w:val="en-US"/>
        </w:rPr>
        <w:t xml:space="preserve">active in the </w:t>
      </w:r>
      <w:r w:rsidR="00BF51EE" w:rsidRPr="00D71364">
        <w:rPr>
          <w:rStyle w:val="Lienhypertexte"/>
          <w:rFonts w:ascii="Times New Roman" w:hAnsi="Times New Roman"/>
          <w:color w:val="auto"/>
          <w:u w:val="none"/>
          <w:lang w:val="en-US"/>
        </w:rPr>
        <w:t>cement</w:t>
      </w:r>
      <w:r w:rsidRPr="00D71364">
        <w:rPr>
          <w:rStyle w:val="Lienhypertexte"/>
          <w:rFonts w:ascii="Times New Roman" w:hAnsi="Times New Roman"/>
          <w:color w:val="auto"/>
          <w:u w:val="none"/>
          <w:lang w:val="en-US"/>
        </w:rPr>
        <w:t xml:space="preserve"> se</w:t>
      </w:r>
      <w:proofErr w:type="spellStart"/>
      <w:r w:rsidRPr="00D71364">
        <w:rPr>
          <w:rStyle w:val="Lienhypertexte"/>
          <w:rFonts w:ascii="Times New Roman" w:hAnsi="Times New Roman"/>
          <w:color w:val="auto"/>
          <w:u w:val="none"/>
        </w:rPr>
        <w:t>ctor</w:t>
      </w:r>
      <w:proofErr w:type="spellEnd"/>
      <w:r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Holcim</w:t>
      </w:r>
      <w:proofErr w:type="spellEnd"/>
      <w:r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HeidelbergCement</w:t>
      </w:r>
      <w:proofErr w:type="spellEnd"/>
      <w:r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România</w:t>
      </w:r>
      <w:proofErr w:type="spellEnd"/>
      <w:r w:rsidR="007A1E56" w:rsidRPr="00D71364">
        <w:rPr>
          <w:rStyle w:val="Lienhypertexte"/>
          <w:rFonts w:ascii="Times New Roman" w:hAnsi="Times New Roman"/>
          <w:color w:val="auto"/>
          <w:u w:val="none"/>
        </w:rPr>
        <w:t>, Lafarge,</w:t>
      </w:r>
      <w:r w:rsidRPr="00D71364">
        <w:rPr>
          <w:rStyle w:val="Lienhypertexte"/>
          <w:rFonts w:ascii="Times New Roman" w:hAnsi="Times New Roman"/>
          <w:color w:val="auto"/>
          <w:u w:val="none"/>
        </w:rPr>
        <w:t xml:space="preserve"> CRH Romania)</w:t>
      </w:r>
      <w:r w:rsidR="00BF51EE" w:rsidRPr="00D71364">
        <w:rPr>
          <w:rStyle w:val="Lienhypertexte"/>
          <w:rFonts w:ascii="Times New Roman" w:hAnsi="Times New Roman"/>
          <w:color w:val="auto"/>
          <w:u w:val="none"/>
        </w:rPr>
        <w:t xml:space="preserve">, </w:t>
      </w:r>
      <w:proofErr w:type="spellStart"/>
      <w:r w:rsidR="00BF51EE" w:rsidRPr="00D71364">
        <w:rPr>
          <w:rStyle w:val="Lienhypertexte"/>
          <w:rFonts w:ascii="Times New Roman" w:hAnsi="Times New Roman"/>
          <w:color w:val="auto"/>
          <w:u w:val="none"/>
        </w:rPr>
        <w:t>adhesives</w:t>
      </w:r>
      <w:proofErr w:type="spellEnd"/>
      <w:r w:rsidR="00BF51EE" w:rsidRPr="00D71364">
        <w:rPr>
          <w:rStyle w:val="Lienhypertexte"/>
          <w:rFonts w:ascii="Times New Roman" w:hAnsi="Times New Roman"/>
          <w:color w:val="auto"/>
          <w:u w:val="none"/>
        </w:rPr>
        <w:t xml:space="preserve"> </w:t>
      </w:r>
      <w:r w:rsidR="007A1E56" w:rsidRPr="00D71364">
        <w:rPr>
          <w:rStyle w:val="Lienhypertexte"/>
          <w:rFonts w:ascii="Times New Roman" w:hAnsi="Times New Roman"/>
          <w:color w:val="auto"/>
          <w:u w:val="none"/>
        </w:rPr>
        <w:t xml:space="preserve">(Henkel, Den </w:t>
      </w:r>
      <w:proofErr w:type="spellStart"/>
      <w:r w:rsidR="007A1E56" w:rsidRPr="00D71364">
        <w:rPr>
          <w:rStyle w:val="Lienhypertexte"/>
          <w:rFonts w:ascii="Times New Roman" w:hAnsi="Times New Roman"/>
          <w:color w:val="auto"/>
          <w:u w:val="none"/>
        </w:rPr>
        <w:t>Braven</w:t>
      </w:r>
      <w:proofErr w:type="spellEnd"/>
      <w:r w:rsidR="009A1552" w:rsidRPr="00D71364">
        <w:rPr>
          <w:rStyle w:val="Lienhypertexte"/>
          <w:rFonts w:ascii="Times New Roman" w:hAnsi="Times New Roman"/>
          <w:color w:val="auto"/>
          <w:u w:val="none"/>
        </w:rPr>
        <w:t xml:space="preserve">, </w:t>
      </w:r>
      <w:proofErr w:type="spellStart"/>
      <w:r w:rsidR="009A1552" w:rsidRPr="00D71364">
        <w:rPr>
          <w:rStyle w:val="Lienhypertexte"/>
          <w:rFonts w:ascii="Times New Roman" w:hAnsi="Times New Roman"/>
          <w:color w:val="auto"/>
          <w:u w:val="none"/>
        </w:rPr>
        <w:t>Baumit</w:t>
      </w:r>
      <w:proofErr w:type="spellEnd"/>
      <w:r w:rsidR="007A1E56"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gypsum</w:t>
      </w:r>
      <w:proofErr w:type="spellEnd"/>
      <w:r w:rsidR="007A1E56" w:rsidRPr="00D71364">
        <w:rPr>
          <w:rStyle w:val="Lienhypertexte"/>
          <w:rFonts w:ascii="Times New Roman" w:hAnsi="Times New Roman"/>
          <w:color w:val="auto"/>
          <w:u w:val="none"/>
        </w:rPr>
        <w:t xml:space="preserve"> (Saint-Gobain Construction Products)</w:t>
      </w:r>
      <w:r w:rsidR="00A66AD4" w:rsidRPr="00D71364">
        <w:rPr>
          <w:rStyle w:val="Lienhypertexte"/>
          <w:rFonts w:ascii="Times New Roman" w:hAnsi="Times New Roman"/>
          <w:color w:val="auto"/>
          <w:u w:val="none"/>
        </w:rPr>
        <w:t xml:space="preserve">,  </w:t>
      </w:r>
      <w:r w:rsidR="007A1E56" w:rsidRPr="00D71364">
        <w:rPr>
          <w:rStyle w:val="Lienhypertexte"/>
          <w:rFonts w:ascii="Times New Roman" w:hAnsi="Times New Roman"/>
          <w:color w:val="auto"/>
          <w:u w:val="none"/>
        </w:rPr>
        <w:t>s</w:t>
      </w:r>
      <w:r w:rsidR="00A66AD4" w:rsidRPr="00D71364">
        <w:rPr>
          <w:rStyle w:val="Lienhypertexte"/>
          <w:rFonts w:ascii="Times New Roman" w:hAnsi="Times New Roman"/>
          <w:color w:val="auto"/>
          <w:u w:val="none"/>
        </w:rPr>
        <w:t>teel</w:t>
      </w:r>
      <w:r w:rsidR="006C2F44" w:rsidRPr="00D71364">
        <w:rPr>
          <w:rStyle w:val="Lienhypertexte"/>
          <w:rFonts w:ascii="Times New Roman" w:hAnsi="Times New Roman"/>
          <w:color w:val="auto"/>
          <w:u w:val="none"/>
        </w:rPr>
        <w:t xml:space="preserve"> (ArcelorMittal)</w:t>
      </w:r>
      <w:r w:rsidR="007A1E56" w:rsidRPr="00D71364">
        <w:rPr>
          <w:rStyle w:val="Lienhypertexte"/>
          <w:rFonts w:ascii="Times New Roman" w:hAnsi="Times New Roman"/>
          <w:color w:val="auto"/>
          <w:u w:val="none"/>
        </w:rPr>
        <w:t>, glass (Saint-Gobain Glass), p</w:t>
      </w:r>
      <w:r w:rsidR="007D1E2A" w:rsidRPr="00D71364">
        <w:rPr>
          <w:rStyle w:val="Lienhypertexte"/>
          <w:rFonts w:ascii="Times New Roman" w:hAnsi="Times New Roman"/>
          <w:color w:val="auto"/>
          <w:u w:val="none"/>
        </w:rPr>
        <w:t>lastic</w:t>
      </w:r>
      <w:r w:rsidR="00A66AD4" w:rsidRPr="00D71364">
        <w:rPr>
          <w:rStyle w:val="Lienhypertexte"/>
          <w:rFonts w:ascii="Times New Roman" w:hAnsi="Times New Roman"/>
          <w:color w:val="auto"/>
          <w:u w:val="none"/>
        </w:rPr>
        <w:t xml:space="preserve"> (</w:t>
      </w:r>
      <w:proofErr w:type="spellStart"/>
      <w:r w:rsidR="00A66AD4" w:rsidRPr="00D71364">
        <w:rPr>
          <w:rStyle w:val="Lienhypertexte"/>
          <w:rFonts w:ascii="Times New Roman" w:hAnsi="Times New Roman"/>
          <w:color w:val="auto"/>
          <w:u w:val="none"/>
        </w:rPr>
        <w:t>Teraplast</w:t>
      </w:r>
      <w:proofErr w:type="spellEnd"/>
      <w:r w:rsidR="00A66AD4" w:rsidRPr="00D71364">
        <w:rPr>
          <w:rStyle w:val="Lienhypertexte"/>
          <w:rFonts w:ascii="Times New Roman" w:hAnsi="Times New Roman"/>
          <w:color w:val="auto"/>
          <w:u w:val="none"/>
        </w:rPr>
        <w:t xml:space="preserve">), </w:t>
      </w:r>
      <w:proofErr w:type="spellStart"/>
      <w:r w:rsidR="00A66AD4" w:rsidRPr="00D71364">
        <w:rPr>
          <w:rStyle w:val="Lienhypertexte"/>
          <w:rFonts w:ascii="Times New Roman" w:hAnsi="Times New Roman"/>
          <w:color w:val="auto"/>
          <w:u w:val="none"/>
        </w:rPr>
        <w:t>pavers</w:t>
      </w:r>
      <w:proofErr w:type="spellEnd"/>
      <w:r w:rsidR="00A66AD4" w:rsidRPr="00D71364">
        <w:rPr>
          <w:rStyle w:val="Lienhypertexte"/>
          <w:rFonts w:ascii="Times New Roman" w:hAnsi="Times New Roman"/>
          <w:color w:val="auto"/>
          <w:u w:val="none"/>
        </w:rPr>
        <w:t xml:space="preserve"> (Elis </w:t>
      </w:r>
      <w:proofErr w:type="spellStart"/>
      <w:r w:rsidR="00A66AD4" w:rsidRPr="00D71364">
        <w:rPr>
          <w:rStyle w:val="Lienhypertexte"/>
          <w:rFonts w:ascii="Times New Roman" w:hAnsi="Times New Roman"/>
          <w:color w:val="auto"/>
          <w:u w:val="none"/>
        </w:rPr>
        <w:t>Pavaje</w:t>
      </w:r>
      <w:proofErr w:type="spellEnd"/>
      <w:r w:rsidR="00A66AD4" w:rsidRPr="00D71364">
        <w:rPr>
          <w:rStyle w:val="Lienhypertexte"/>
          <w:rFonts w:ascii="Times New Roman" w:hAnsi="Times New Roman"/>
          <w:color w:val="auto"/>
          <w:u w:val="none"/>
        </w:rPr>
        <w:t xml:space="preserve">), </w:t>
      </w:r>
      <w:proofErr w:type="spellStart"/>
      <w:r w:rsidR="007A1E56" w:rsidRPr="00D71364">
        <w:rPr>
          <w:rStyle w:val="Lienhypertexte"/>
          <w:rFonts w:ascii="Times New Roman" w:hAnsi="Times New Roman"/>
          <w:color w:val="auto"/>
          <w:u w:val="none"/>
        </w:rPr>
        <w:t>m</w:t>
      </w:r>
      <w:r w:rsidRPr="00D71364">
        <w:rPr>
          <w:rStyle w:val="Lienhypertexte"/>
          <w:rFonts w:ascii="Times New Roman" w:hAnsi="Times New Roman"/>
          <w:color w:val="auto"/>
          <w:u w:val="none"/>
        </w:rPr>
        <w:t>etallic</w:t>
      </w:r>
      <w:proofErr w:type="spellEnd"/>
      <w:r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tiles</w:t>
      </w:r>
      <w:proofErr w:type="spellEnd"/>
      <w:r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Bilka</w:t>
      </w:r>
      <w:proofErr w:type="spellEnd"/>
      <w:r w:rsidRPr="00D71364">
        <w:rPr>
          <w:rStyle w:val="Lienhypertexte"/>
          <w:rFonts w:ascii="Times New Roman" w:hAnsi="Times New Roman"/>
          <w:color w:val="auto"/>
          <w:u w:val="none"/>
        </w:rPr>
        <w:t xml:space="preserve"> </w:t>
      </w:r>
      <w:proofErr w:type="spellStart"/>
      <w:r w:rsidRPr="00D71364">
        <w:rPr>
          <w:rStyle w:val="Lienhypertexte"/>
          <w:rFonts w:ascii="Times New Roman" w:hAnsi="Times New Roman"/>
          <w:color w:val="auto"/>
          <w:u w:val="none"/>
        </w:rPr>
        <w:t>Ste</w:t>
      </w:r>
      <w:r w:rsidR="007D1E2A" w:rsidRPr="00D71364">
        <w:rPr>
          <w:rStyle w:val="Lienhypertexte"/>
          <w:rFonts w:ascii="Times New Roman" w:hAnsi="Times New Roman"/>
          <w:color w:val="auto"/>
          <w:u w:val="none"/>
        </w:rPr>
        <w:t>e</w:t>
      </w:r>
      <w:r w:rsidRPr="00D71364">
        <w:rPr>
          <w:rStyle w:val="Lienhypertexte"/>
          <w:rFonts w:ascii="Times New Roman" w:hAnsi="Times New Roman"/>
          <w:color w:val="auto"/>
          <w:u w:val="none"/>
        </w:rPr>
        <w:t>l</w:t>
      </w:r>
      <w:proofErr w:type="spellEnd"/>
      <w:r w:rsidR="007D1E2A" w:rsidRPr="00D71364">
        <w:rPr>
          <w:rStyle w:val="Lienhypertexte"/>
          <w:rFonts w:ascii="Times New Roman" w:hAnsi="Times New Roman"/>
          <w:color w:val="auto"/>
          <w:u w:val="none"/>
        </w:rPr>
        <w:t xml:space="preserve">, </w:t>
      </w:r>
      <w:proofErr w:type="spellStart"/>
      <w:r w:rsidR="007D1E2A" w:rsidRPr="00D71364">
        <w:rPr>
          <w:rStyle w:val="Lienhypertexte"/>
          <w:rFonts w:ascii="Times New Roman" w:hAnsi="Times New Roman"/>
          <w:color w:val="auto"/>
          <w:u w:val="none"/>
        </w:rPr>
        <w:t>Depaco</w:t>
      </w:r>
      <w:proofErr w:type="spellEnd"/>
      <w:r w:rsidR="007A1E56" w:rsidRPr="00D71364">
        <w:rPr>
          <w:rStyle w:val="Lienhypertexte"/>
          <w:rFonts w:ascii="Times New Roman" w:hAnsi="Times New Roman"/>
          <w:color w:val="auto"/>
          <w:u w:val="none"/>
        </w:rPr>
        <w:t xml:space="preserve">, </w:t>
      </w:r>
      <w:proofErr w:type="spellStart"/>
      <w:r w:rsidR="007A1E56" w:rsidRPr="00D71364">
        <w:rPr>
          <w:rStyle w:val="Lienhypertexte"/>
          <w:rFonts w:ascii="Times New Roman" w:hAnsi="Times New Roman"/>
          <w:color w:val="auto"/>
          <w:u w:val="none"/>
        </w:rPr>
        <w:t>Rukki</w:t>
      </w:r>
      <w:proofErr w:type="spellEnd"/>
      <w:r w:rsidRPr="00D71364">
        <w:rPr>
          <w:rStyle w:val="Lienhypertexte"/>
          <w:rFonts w:ascii="Times New Roman" w:hAnsi="Times New Roman"/>
          <w:color w:val="auto"/>
          <w:u w:val="none"/>
        </w:rPr>
        <w:t>),</w:t>
      </w:r>
      <w:r w:rsidR="007A1E56" w:rsidRPr="00D71364">
        <w:rPr>
          <w:rStyle w:val="Lienhypertexte"/>
          <w:rFonts w:ascii="Times New Roman" w:hAnsi="Times New Roman"/>
          <w:color w:val="auto"/>
          <w:u w:val="none"/>
        </w:rPr>
        <w:t xml:space="preserve"> </w:t>
      </w:r>
      <w:proofErr w:type="spellStart"/>
      <w:r w:rsidR="009A1552" w:rsidRPr="00D71364">
        <w:rPr>
          <w:rStyle w:val="Lienhypertexte"/>
          <w:rFonts w:ascii="Times New Roman" w:hAnsi="Times New Roman"/>
          <w:color w:val="auto"/>
          <w:u w:val="none"/>
        </w:rPr>
        <w:t>ceramic</w:t>
      </w:r>
      <w:proofErr w:type="spellEnd"/>
      <w:r w:rsidR="009A1552" w:rsidRPr="00D71364">
        <w:rPr>
          <w:rStyle w:val="Lienhypertexte"/>
          <w:rFonts w:ascii="Times New Roman" w:hAnsi="Times New Roman"/>
          <w:color w:val="auto"/>
          <w:u w:val="none"/>
        </w:rPr>
        <w:t xml:space="preserve"> </w:t>
      </w:r>
      <w:proofErr w:type="spellStart"/>
      <w:r w:rsidR="009A1552" w:rsidRPr="00D71364">
        <w:rPr>
          <w:rStyle w:val="Lienhypertexte"/>
          <w:rFonts w:ascii="Times New Roman" w:hAnsi="Times New Roman"/>
          <w:color w:val="auto"/>
          <w:u w:val="none"/>
        </w:rPr>
        <w:t>tiles</w:t>
      </w:r>
      <w:proofErr w:type="spellEnd"/>
      <w:r w:rsidR="009A1552" w:rsidRPr="00D71364">
        <w:rPr>
          <w:rStyle w:val="Lienhypertexte"/>
          <w:rFonts w:ascii="Times New Roman" w:hAnsi="Times New Roman"/>
          <w:color w:val="auto"/>
          <w:u w:val="none"/>
        </w:rPr>
        <w:t xml:space="preserve"> ( </w:t>
      </w:r>
      <w:proofErr w:type="spellStart"/>
      <w:r w:rsidR="009A1552" w:rsidRPr="00D71364">
        <w:rPr>
          <w:rStyle w:val="Lienhypertexte"/>
          <w:rFonts w:ascii="Times New Roman" w:hAnsi="Times New Roman"/>
          <w:color w:val="auto"/>
          <w:u w:val="none"/>
        </w:rPr>
        <w:t>Sanex</w:t>
      </w:r>
      <w:proofErr w:type="spellEnd"/>
      <w:r w:rsidR="009A1552" w:rsidRPr="00D71364">
        <w:rPr>
          <w:rStyle w:val="Lienhypertexte"/>
          <w:rFonts w:ascii="Times New Roman" w:hAnsi="Times New Roman"/>
          <w:color w:val="auto"/>
          <w:u w:val="none"/>
        </w:rPr>
        <w:t xml:space="preserve">), </w:t>
      </w:r>
      <w:proofErr w:type="spellStart"/>
      <w:r w:rsidR="007A1E56" w:rsidRPr="00D71364">
        <w:rPr>
          <w:rStyle w:val="Lienhypertexte"/>
          <w:rFonts w:ascii="Times New Roman" w:hAnsi="Times New Roman"/>
          <w:color w:val="auto"/>
          <w:u w:val="none"/>
        </w:rPr>
        <w:t>insulation</w:t>
      </w:r>
      <w:proofErr w:type="spellEnd"/>
      <w:r w:rsidR="007A1E56" w:rsidRPr="00D71364">
        <w:rPr>
          <w:rStyle w:val="Lienhypertexte"/>
          <w:rFonts w:ascii="Times New Roman" w:hAnsi="Times New Roman"/>
          <w:color w:val="auto"/>
          <w:u w:val="none"/>
        </w:rPr>
        <w:t xml:space="preserve"> (</w:t>
      </w:r>
      <w:proofErr w:type="spellStart"/>
      <w:r w:rsidR="007A1E56" w:rsidRPr="00D71364">
        <w:rPr>
          <w:rStyle w:val="Lienhypertexte"/>
          <w:rFonts w:ascii="Times New Roman" w:hAnsi="Times New Roman"/>
          <w:color w:val="auto"/>
          <w:u w:val="none"/>
        </w:rPr>
        <w:t>Arcon</w:t>
      </w:r>
      <w:proofErr w:type="spellEnd"/>
      <w:r w:rsidR="007A1E56" w:rsidRPr="00D71364">
        <w:rPr>
          <w:rStyle w:val="Lienhypertexte"/>
          <w:rFonts w:ascii="Times New Roman" w:hAnsi="Times New Roman"/>
          <w:color w:val="auto"/>
          <w:u w:val="none"/>
        </w:rPr>
        <w:t>)</w:t>
      </w:r>
      <w:r w:rsidR="009A1552" w:rsidRPr="00D71364">
        <w:rPr>
          <w:rStyle w:val="Lienhypertexte"/>
          <w:rFonts w:ascii="Times New Roman" w:hAnsi="Times New Roman"/>
          <w:color w:val="auto"/>
          <w:u w:val="none"/>
        </w:rPr>
        <w:t>, bricks (</w:t>
      </w:r>
      <w:proofErr w:type="spellStart"/>
      <w:r w:rsidR="009A1552" w:rsidRPr="00D71364">
        <w:rPr>
          <w:rStyle w:val="Lienhypertexte"/>
          <w:rFonts w:ascii="Times New Roman" w:hAnsi="Times New Roman"/>
          <w:color w:val="auto"/>
          <w:u w:val="none"/>
        </w:rPr>
        <w:t>Wienerberger</w:t>
      </w:r>
      <w:proofErr w:type="spellEnd"/>
      <w:r w:rsidR="009A1552" w:rsidRPr="00D71364">
        <w:rPr>
          <w:rStyle w:val="Lienhypertexte"/>
          <w:rFonts w:ascii="Times New Roman" w:hAnsi="Times New Roman"/>
          <w:color w:val="auto"/>
          <w:u w:val="none"/>
        </w:rPr>
        <w:t xml:space="preserve">), </w:t>
      </w:r>
      <w:r w:rsidR="004A6D97" w:rsidRPr="00D71364">
        <w:rPr>
          <w:rStyle w:val="Lienhypertexte"/>
          <w:rFonts w:ascii="Times New Roman" w:hAnsi="Times New Roman"/>
          <w:color w:val="auto"/>
          <w:u w:val="none"/>
        </w:rPr>
        <w:t>etc.</w:t>
      </w:r>
    </w:p>
    <w:p w:rsidR="00CC7D5C" w:rsidRPr="00D71364" w:rsidRDefault="00CC7D5C" w:rsidP="00845E08">
      <w:pPr>
        <w:spacing w:after="0"/>
        <w:rPr>
          <w:rStyle w:val="Lienhypertexte"/>
          <w:rFonts w:ascii="Times New Roman" w:hAnsi="Times New Roman"/>
          <w:b/>
          <w:color w:val="auto"/>
          <w:sz w:val="16"/>
          <w:szCs w:val="16"/>
          <w:u w:val="none"/>
          <w:lang w:val="en-US"/>
        </w:rPr>
      </w:pPr>
    </w:p>
    <w:p w:rsidR="00F26A77" w:rsidRPr="00EA0AF0" w:rsidRDefault="00D71364" w:rsidP="00845E08">
      <w:pPr>
        <w:spacing w:after="0"/>
        <w:rPr>
          <w:rStyle w:val="Lienhypertexte"/>
          <w:rFonts w:ascii="Times New Roman" w:hAnsi="Times New Roman"/>
          <w:b/>
          <w:color w:val="auto"/>
          <w:sz w:val="24"/>
          <w:szCs w:val="24"/>
          <w:u w:val="none"/>
          <w:lang w:val="en-US"/>
        </w:rPr>
      </w:pPr>
      <w:r>
        <w:rPr>
          <w:rStyle w:val="Lienhypertexte"/>
          <w:rFonts w:ascii="Times New Roman" w:hAnsi="Times New Roman"/>
          <w:b/>
          <w:color w:val="auto"/>
          <w:sz w:val="24"/>
          <w:szCs w:val="24"/>
          <w:u w:val="none"/>
          <w:lang w:val="en-US"/>
        </w:rPr>
        <w:t xml:space="preserve">5.2. </w:t>
      </w:r>
      <w:r w:rsidR="00F26A77" w:rsidRPr="00EA0AF0">
        <w:rPr>
          <w:rStyle w:val="Lienhypertexte"/>
          <w:rFonts w:ascii="Times New Roman" w:hAnsi="Times New Roman"/>
          <w:b/>
          <w:color w:val="auto"/>
          <w:sz w:val="24"/>
          <w:szCs w:val="24"/>
          <w:u w:val="none"/>
          <w:lang w:val="en-US"/>
        </w:rPr>
        <w:t>Materials Romania imports</w:t>
      </w:r>
      <w:r w:rsidR="00CC560F" w:rsidRPr="00EA0AF0">
        <w:rPr>
          <w:rStyle w:val="Lienhypertexte"/>
          <w:rFonts w:ascii="Times New Roman" w:hAnsi="Times New Roman"/>
          <w:b/>
          <w:color w:val="auto"/>
          <w:sz w:val="24"/>
          <w:szCs w:val="24"/>
          <w:u w:val="none"/>
          <w:lang w:val="en-US"/>
        </w:rPr>
        <w:t>:</w:t>
      </w:r>
    </w:p>
    <w:p w:rsidR="00CC560F" w:rsidRPr="00D71364" w:rsidRDefault="00CC560F" w:rsidP="00D71364">
      <w:pPr>
        <w:pStyle w:val="Paragraphedeliste"/>
        <w:numPr>
          <w:ilvl w:val="0"/>
          <w:numId w:val="11"/>
        </w:numPr>
        <w:spacing w:after="0"/>
        <w:jc w:val="both"/>
        <w:rPr>
          <w:rStyle w:val="Lienhypertexte"/>
          <w:rFonts w:ascii="Times New Roman" w:hAnsi="Times New Roman"/>
          <w:color w:val="auto"/>
          <w:u w:val="none"/>
          <w:lang w:val="en-US"/>
        </w:rPr>
      </w:pPr>
      <w:r w:rsidRPr="00D71364">
        <w:rPr>
          <w:rStyle w:val="Lienhypertexte"/>
          <w:rFonts w:ascii="Times New Roman" w:hAnsi="Times New Roman"/>
          <w:color w:val="auto"/>
          <w:u w:val="none"/>
          <w:lang w:val="en-US"/>
        </w:rPr>
        <w:t xml:space="preserve">construction chemicals, </w:t>
      </w:r>
    </w:p>
    <w:p w:rsidR="00603B46" w:rsidRPr="00D71364" w:rsidRDefault="00603B46" w:rsidP="00D71364">
      <w:pPr>
        <w:pStyle w:val="Paragraphedeliste"/>
        <w:numPr>
          <w:ilvl w:val="0"/>
          <w:numId w:val="11"/>
        </w:numPr>
        <w:spacing w:after="0"/>
        <w:jc w:val="both"/>
        <w:rPr>
          <w:rStyle w:val="Lienhypertexte"/>
          <w:rFonts w:ascii="Times New Roman" w:hAnsi="Times New Roman"/>
          <w:color w:val="auto"/>
          <w:u w:val="none"/>
          <w:lang w:val="en-US"/>
        </w:rPr>
      </w:pPr>
      <w:r w:rsidRPr="00D71364">
        <w:rPr>
          <w:rStyle w:val="Lienhypertexte"/>
          <w:rFonts w:ascii="Times New Roman" w:hAnsi="Times New Roman"/>
          <w:color w:val="auto"/>
          <w:u w:val="none"/>
          <w:lang w:val="en-US"/>
        </w:rPr>
        <w:t>thermal installations</w:t>
      </w:r>
    </w:p>
    <w:p w:rsidR="00CC560F" w:rsidRPr="00D71364" w:rsidRDefault="00CC560F" w:rsidP="00D71364">
      <w:pPr>
        <w:pStyle w:val="Paragraphedeliste"/>
        <w:numPr>
          <w:ilvl w:val="0"/>
          <w:numId w:val="11"/>
        </w:numPr>
        <w:spacing w:after="0"/>
        <w:jc w:val="both"/>
        <w:rPr>
          <w:rStyle w:val="Lienhypertexte"/>
          <w:rFonts w:ascii="Times New Roman" w:hAnsi="Times New Roman"/>
          <w:color w:val="auto"/>
          <w:u w:val="none"/>
          <w:lang w:val="en-US"/>
        </w:rPr>
      </w:pPr>
      <w:r w:rsidRPr="00D71364">
        <w:rPr>
          <w:rStyle w:val="Lienhypertexte"/>
          <w:rFonts w:ascii="Times New Roman" w:hAnsi="Times New Roman"/>
          <w:color w:val="auto"/>
          <w:u w:val="none"/>
          <w:lang w:val="en-US"/>
        </w:rPr>
        <w:t>fasteners,</w:t>
      </w:r>
    </w:p>
    <w:p w:rsidR="00603B46" w:rsidRPr="00D71364" w:rsidRDefault="00CC560F" w:rsidP="00D71364">
      <w:pPr>
        <w:pStyle w:val="Paragraphedeliste"/>
        <w:numPr>
          <w:ilvl w:val="0"/>
          <w:numId w:val="11"/>
        </w:numPr>
        <w:spacing w:after="0"/>
        <w:jc w:val="both"/>
        <w:rPr>
          <w:rStyle w:val="Lienhypertexte"/>
          <w:color w:val="auto"/>
          <w:u w:val="none"/>
          <w:lang w:val="en-US"/>
        </w:rPr>
      </w:pPr>
      <w:r w:rsidRPr="00D71364">
        <w:rPr>
          <w:rStyle w:val="Lienhypertexte"/>
          <w:rFonts w:ascii="Times New Roman" w:hAnsi="Times New Roman"/>
          <w:color w:val="auto"/>
          <w:u w:val="none"/>
          <w:lang w:val="en-US"/>
        </w:rPr>
        <w:t xml:space="preserve">hydro-insulation materials, </w:t>
      </w:r>
    </w:p>
    <w:p w:rsidR="00CC560F" w:rsidRPr="00D71364" w:rsidRDefault="00CC560F" w:rsidP="00D71364">
      <w:pPr>
        <w:pStyle w:val="Paragraphedeliste"/>
        <w:numPr>
          <w:ilvl w:val="0"/>
          <w:numId w:val="11"/>
        </w:numPr>
        <w:spacing w:after="0"/>
        <w:jc w:val="both"/>
        <w:rPr>
          <w:rStyle w:val="Lienhypertexte"/>
          <w:rFonts w:ascii="Times New Roman" w:hAnsi="Times New Roman"/>
          <w:color w:val="auto"/>
          <w:u w:val="none"/>
          <w:lang w:val="en-US"/>
        </w:rPr>
      </w:pPr>
      <w:r w:rsidRPr="00D71364">
        <w:rPr>
          <w:rStyle w:val="Lienhypertexte"/>
          <w:rFonts w:ascii="Times New Roman" w:hAnsi="Times New Roman"/>
          <w:color w:val="auto"/>
          <w:u w:val="none"/>
          <w:lang w:val="en-US"/>
        </w:rPr>
        <w:t xml:space="preserve">building machinery, </w:t>
      </w:r>
    </w:p>
    <w:p w:rsidR="00CC560F" w:rsidRPr="00D71364" w:rsidRDefault="00CC560F" w:rsidP="00D71364">
      <w:pPr>
        <w:pStyle w:val="Paragraphedeliste"/>
        <w:numPr>
          <w:ilvl w:val="0"/>
          <w:numId w:val="11"/>
        </w:numPr>
        <w:spacing w:after="0"/>
        <w:jc w:val="both"/>
        <w:rPr>
          <w:rStyle w:val="Lienhypertexte"/>
          <w:rFonts w:ascii="Times New Roman" w:hAnsi="Times New Roman"/>
          <w:color w:val="auto"/>
          <w:u w:val="none"/>
        </w:rPr>
      </w:pPr>
      <w:r w:rsidRPr="00D71364">
        <w:rPr>
          <w:rStyle w:val="Lienhypertexte"/>
          <w:rFonts w:ascii="Times New Roman" w:hAnsi="Times New Roman"/>
          <w:color w:val="auto"/>
          <w:u w:val="none"/>
          <w:lang w:val="en-US"/>
        </w:rPr>
        <w:t>construction timber</w:t>
      </w:r>
      <w:r w:rsidRPr="00D71364">
        <w:rPr>
          <w:rStyle w:val="Lienhypertexte"/>
          <w:rFonts w:ascii="Times New Roman" w:hAnsi="Times New Roman"/>
          <w:color w:val="auto"/>
          <w:u w:val="none"/>
        </w:rPr>
        <w:t xml:space="preserve">, </w:t>
      </w:r>
    </w:p>
    <w:p w:rsidR="00603B46" w:rsidRPr="00D71364" w:rsidRDefault="007D1390" w:rsidP="00D71364">
      <w:pPr>
        <w:pStyle w:val="Paragraphedeliste"/>
        <w:numPr>
          <w:ilvl w:val="0"/>
          <w:numId w:val="11"/>
        </w:numPr>
        <w:spacing w:after="0"/>
        <w:jc w:val="both"/>
        <w:rPr>
          <w:rStyle w:val="Lienhypertexte"/>
          <w:rFonts w:ascii="Times New Roman" w:hAnsi="Times New Roman"/>
          <w:color w:val="auto"/>
          <w:u w:val="none"/>
        </w:rPr>
      </w:pPr>
      <w:r w:rsidRPr="00D71364">
        <w:rPr>
          <w:rStyle w:val="Lienhypertexte"/>
          <w:rFonts w:ascii="Times New Roman" w:hAnsi="Times New Roman"/>
          <w:color w:val="auto"/>
          <w:u w:val="none"/>
        </w:rPr>
        <w:t xml:space="preserve">floor, </w:t>
      </w:r>
      <w:r w:rsidR="00CC560F" w:rsidRPr="00D71364">
        <w:rPr>
          <w:rStyle w:val="Lienhypertexte"/>
          <w:rFonts w:ascii="Times New Roman" w:hAnsi="Times New Roman"/>
          <w:color w:val="auto"/>
          <w:u w:val="none"/>
        </w:rPr>
        <w:t>wall</w:t>
      </w:r>
      <w:r w:rsidRPr="00D71364">
        <w:rPr>
          <w:rStyle w:val="Lienhypertexte"/>
          <w:rFonts w:ascii="Times New Roman" w:hAnsi="Times New Roman"/>
          <w:color w:val="auto"/>
          <w:u w:val="none"/>
        </w:rPr>
        <w:t xml:space="preserve"> and roof</w:t>
      </w:r>
      <w:r w:rsidR="00CC560F" w:rsidRPr="00D71364">
        <w:rPr>
          <w:rStyle w:val="Lienhypertexte"/>
          <w:rFonts w:ascii="Times New Roman" w:hAnsi="Times New Roman"/>
          <w:color w:val="auto"/>
          <w:u w:val="none"/>
        </w:rPr>
        <w:t xml:space="preserve"> tiles, </w:t>
      </w:r>
      <w:r w:rsidR="00845E08" w:rsidRPr="00D71364">
        <w:rPr>
          <w:rStyle w:val="Lienhypertexte"/>
          <w:rFonts w:ascii="Times New Roman" w:hAnsi="Times New Roman"/>
          <w:color w:val="auto"/>
          <w:u w:val="none"/>
        </w:rPr>
        <w:t>etc.</w:t>
      </w:r>
    </w:p>
    <w:p w:rsidR="00F26A77" w:rsidRPr="00EA0AF0" w:rsidRDefault="00F26A77" w:rsidP="00F26A77">
      <w:pPr>
        <w:rPr>
          <w:rStyle w:val="Lienhypertexte"/>
          <w:rFonts w:ascii="Times New Roman" w:hAnsi="Times New Roman"/>
          <w:color w:val="auto"/>
          <w:u w:val="none"/>
          <w:lang w:val="en-US"/>
        </w:rPr>
      </w:pPr>
      <w:r w:rsidRPr="00D71364">
        <w:rPr>
          <w:rStyle w:val="Lienhypertexte"/>
          <w:rFonts w:ascii="Times New Roman" w:hAnsi="Times New Roman"/>
          <w:color w:val="auto"/>
          <w:u w:val="none"/>
          <w:lang w:val="en-US"/>
        </w:rPr>
        <w:t>Countries of origin:</w:t>
      </w:r>
      <w:r w:rsidR="00602610" w:rsidRPr="00EA0AF0">
        <w:rPr>
          <w:rStyle w:val="Lienhypertexte"/>
          <w:rFonts w:ascii="Times New Roman" w:hAnsi="Times New Roman"/>
          <w:color w:val="auto"/>
          <w:u w:val="none"/>
          <w:lang w:val="en-US"/>
        </w:rPr>
        <w:t xml:space="preserve"> </w:t>
      </w:r>
      <w:r w:rsidR="00603B46" w:rsidRPr="00EA0AF0">
        <w:rPr>
          <w:rStyle w:val="Lienhypertexte"/>
          <w:rFonts w:ascii="Times New Roman" w:hAnsi="Times New Roman"/>
          <w:color w:val="auto"/>
          <w:u w:val="none"/>
          <w:lang w:val="en-US"/>
        </w:rPr>
        <w:t xml:space="preserve"> </w:t>
      </w:r>
      <w:r w:rsidR="00C93076" w:rsidRPr="00EA0AF0">
        <w:rPr>
          <w:rStyle w:val="Lienhypertexte"/>
          <w:rFonts w:ascii="Times New Roman" w:hAnsi="Times New Roman"/>
          <w:color w:val="auto"/>
          <w:u w:val="none"/>
          <w:lang w:val="en-US"/>
        </w:rPr>
        <w:t>Germany, UK, Poland, Italy</w:t>
      </w:r>
      <w:r w:rsidR="00905351" w:rsidRPr="00EA0AF0">
        <w:rPr>
          <w:rStyle w:val="Lienhypertexte"/>
          <w:rFonts w:ascii="Times New Roman" w:hAnsi="Times New Roman"/>
          <w:color w:val="auto"/>
          <w:u w:val="none"/>
          <w:lang w:val="en-US"/>
        </w:rPr>
        <w:t xml:space="preserve">, </w:t>
      </w:r>
      <w:r w:rsidR="00905351" w:rsidRPr="00EA0AF0">
        <w:rPr>
          <w:rFonts w:ascii="Times New Roman" w:hAnsi="Times New Roman"/>
          <w:shd w:val="clear" w:color="auto" w:fill="FFFFFF"/>
          <w:lang w:val="en-US"/>
        </w:rPr>
        <w:t xml:space="preserve">Belgium, </w:t>
      </w:r>
      <w:r w:rsidR="007D1390" w:rsidRPr="00EA0AF0">
        <w:rPr>
          <w:rFonts w:ascii="Times New Roman" w:hAnsi="Times New Roman"/>
          <w:shd w:val="clear" w:color="auto" w:fill="FFFFFF"/>
          <w:lang w:val="en-US"/>
        </w:rPr>
        <w:t xml:space="preserve">Greece, </w:t>
      </w:r>
      <w:r w:rsidR="00905351" w:rsidRPr="00EA0AF0">
        <w:rPr>
          <w:rFonts w:ascii="Times New Roman" w:hAnsi="Times New Roman"/>
          <w:shd w:val="clear" w:color="auto" w:fill="FFFFFF"/>
          <w:lang w:val="en-US"/>
        </w:rPr>
        <w:t>etc.</w:t>
      </w:r>
    </w:p>
    <w:p w:rsidR="00602610" w:rsidRPr="00CD6C4D" w:rsidRDefault="00D71364" w:rsidP="006C2F44">
      <w:pPr>
        <w:spacing w:after="0"/>
        <w:rPr>
          <w:rStyle w:val="Lienhypertexte"/>
          <w:rFonts w:ascii="Times New Roman" w:hAnsi="Times New Roman"/>
          <w:b/>
          <w:color w:val="auto"/>
          <w:sz w:val="24"/>
          <w:szCs w:val="24"/>
          <w:u w:val="none"/>
          <w:lang w:val="en-US"/>
        </w:rPr>
      </w:pPr>
      <w:r w:rsidRPr="00CD6C4D">
        <w:rPr>
          <w:rStyle w:val="Lienhypertexte"/>
          <w:rFonts w:ascii="Times New Roman" w:hAnsi="Times New Roman"/>
          <w:b/>
          <w:color w:val="auto"/>
          <w:sz w:val="24"/>
          <w:szCs w:val="24"/>
          <w:u w:val="none"/>
          <w:lang w:val="en-US"/>
        </w:rPr>
        <w:t>5.3.</w:t>
      </w:r>
      <w:r w:rsidR="00CD6C4D" w:rsidRPr="00CD6C4D">
        <w:rPr>
          <w:rStyle w:val="Lienhypertexte"/>
          <w:rFonts w:ascii="Times New Roman" w:hAnsi="Times New Roman"/>
          <w:b/>
          <w:color w:val="auto"/>
          <w:sz w:val="24"/>
          <w:szCs w:val="24"/>
          <w:u w:val="none"/>
          <w:lang w:val="en-US"/>
        </w:rPr>
        <w:t xml:space="preserve"> </w:t>
      </w:r>
      <w:r w:rsidR="00F26A77" w:rsidRPr="00CD6C4D">
        <w:rPr>
          <w:rStyle w:val="Lienhypertexte"/>
          <w:rFonts w:ascii="Times New Roman" w:hAnsi="Times New Roman"/>
          <w:b/>
          <w:color w:val="auto"/>
          <w:sz w:val="24"/>
          <w:szCs w:val="24"/>
          <w:u w:val="none"/>
          <w:lang w:val="en-US"/>
        </w:rPr>
        <w:t>Materials Romania needs to import</w:t>
      </w:r>
      <w:r w:rsidR="00602610" w:rsidRPr="00CD6C4D">
        <w:rPr>
          <w:rStyle w:val="Lienhypertexte"/>
          <w:rFonts w:ascii="Times New Roman" w:hAnsi="Times New Roman"/>
          <w:color w:val="auto"/>
          <w:sz w:val="24"/>
          <w:szCs w:val="24"/>
          <w:u w:val="none"/>
          <w:lang w:val="en-US"/>
        </w:rPr>
        <w:t>:</w:t>
      </w:r>
    </w:p>
    <w:p w:rsidR="00602610" w:rsidRPr="00D71364" w:rsidRDefault="00823FA4" w:rsidP="00D71364">
      <w:pPr>
        <w:pStyle w:val="Paragraphedeliste"/>
        <w:numPr>
          <w:ilvl w:val="0"/>
          <w:numId w:val="11"/>
        </w:numPr>
        <w:spacing w:after="0"/>
        <w:jc w:val="both"/>
        <w:rPr>
          <w:rStyle w:val="Lienhypertexte"/>
          <w:rFonts w:ascii="Times New Roman" w:hAnsi="Times New Roman"/>
          <w:color w:val="auto"/>
          <w:u w:val="none"/>
          <w:lang w:val="en-US"/>
        </w:rPr>
      </w:pPr>
      <w:r w:rsidRPr="00D71364">
        <w:rPr>
          <w:rStyle w:val="Lienhypertexte"/>
          <w:rFonts w:ascii="Times New Roman" w:hAnsi="Times New Roman"/>
          <w:color w:val="auto"/>
          <w:u w:val="none"/>
          <w:lang w:val="en-US"/>
        </w:rPr>
        <w:t>base materials to meet the growing needs that cannot be covered</w:t>
      </w:r>
      <w:r w:rsidR="00030E03" w:rsidRPr="00D71364">
        <w:rPr>
          <w:rStyle w:val="Lienhypertexte"/>
          <w:rFonts w:ascii="Times New Roman" w:hAnsi="Times New Roman"/>
          <w:color w:val="auto"/>
          <w:u w:val="none"/>
          <w:lang w:val="en-US"/>
        </w:rPr>
        <w:t xml:space="preserve">: </w:t>
      </w:r>
      <w:r w:rsidR="00602610" w:rsidRPr="00D71364">
        <w:rPr>
          <w:rStyle w:val="Lienhypertexte"/>
          <w:rFonts w:ascii="Times New Roman" w:hAnsi="Times New Roman"/>
          <w:color w:val="auto"/>
          <w:u w:val="none"/>
          <w:lang w:val="en-US"/>
        </w:rPr>
        <w:t>iron, mineral wool</w:t>
      </w:r>
      <w:r w:rsidR="00905351" w:rsidRPr="00D71364">
        <w:rPr>
          <w:rStyle w:val="Lienhypertexte"/>
          <w:rFonts w:ascii="Times New Roman" w:hAnsi="Times New Roman"/>
          <w:color w:val="auto"/>
          <w:u w:val="none"/>
          <w:lang w:val="en-US"/>
        </w:rPr>
        <w:t>, bricks, PVC</w:t>
      </w:r>
      <w:r w:rsidR="00602610" w:rsidRPr="00D71364">
        <w:rPr>
          <w:rStyle w:val="Lienhypertexte"/>
          <w:rFonts w:ascii="Times New Roman" w:hAnsi="Times New Roman"/>
          <w:color w:val="auto"/>
          <w:u w:val="none"/>
          <w:lang w:val="en-US"/>
        </w:rPr>
        <w:t xml:space="preserve"> </w:t>
      </w:r>
    </w:p>
    <w:p w:rsidR="00602610" w:rsidRPr="00954D9F" w:rsidRDefault="00602610" w:rsidP="00D71364">
      <w:pPr>
        <w:pStyle w:val="Paragraphedeliste"/>
        <w:numPr>
          <w:ilvl w:val="0"/>
          <w:numId w:val="11"/>
        </w:numPr>
        <w:spacing w:after="0"/>
        <w:jc w:val="both"/>
        <w:rPr>
          <w:rStyle w:val="Lienhypertexte"/>
          <w:rFonts w:ascii="Times New Roman" w:hAnsi="Times New Roman"/>
          <w:color w:val="auto"/>
          <w:u w:val="none"/>
          <w:lang w:val="en-US"/>
        </w:rPr>
      </w:pPr>
      <w:proofErr w:type="gramStart"/>
      <w:r w:rsidRPr="00D71364">
        <w:rPr>
          <w:rStyle w:val="Lienhypertexte"/>
          <w:rFonts w:ascii="Times New Roman" w:hAnsi="Times New Roman"/>
          <w:color w:val="auto"/>
          <w:u w:val="none"/>
          <w:lang w:val="en-US"/>
        </w:rPr>
        <w:t>high-end</w:t>
      </w:r>
      <w:proofErr w:type="gramEnd"/>
      <w:r w:rsidRPr="00D71364">
        <w:rPr>
          <w:rStyle w:val="Lienhypertexte"/>
          <w:rFonts w:ascii="Times New Roman" w:hAnsi="Times New Roman"/>
          <w:color w:val="auto"/>
          <w:u w:val="none"/>
          <w:lang w:val="en-US"/>
        </w:rPr>
        <w:t xml:space="preserve"> finis</w:t>
      </w:r>
      <w:r w:rsidRPr="00CD6C4D">
        <w:rPr>
          <w:rStyle w:val="Lienhypertexte"/>
          <w:rFonts w:ascii="Times New Roman" w:hAnsi="Times New Roman"/>
          <w:color w:val="auto"/>
          <w:u w:val="none"/>
          <w:lang w:val="en-US"/>
        </w:rPr>
        <w:t xml:space="preserve">hing </w:t>
      </w:r>
      <w:r w:rsidRPr="00954D9F">
        <w:rPr>
          <w:rStyle w:val="Lienhypertexte"/>
          <w:rFonts w:ascii="Times New Roman" w:hAnsi="Times New Roman"/>
          <w:color w:val="auto"/>
          <w:u w:val="none"/>
          <w:lang w:val="en-US"/>
        </w:rPr>
        <w:t xml:space="preserve">materials: </w:t>
      </w:r>
      <w:r w:rsidR="00387AAF" w:rsidRPr="00954D9F">
        <w:rPr>
          <w:rStyle w:val="Lienhypertexte"/>
          <w:rFonts w:ascii="Times New Roman" w:hAnsi="Times New Roman"/>
          <w:color w:val="auto"/>
          <w:u w:val="none"/>
          <w:lang w:val="en-US"/>
        </w:rPr>
        <w:t>wall and floor tiles</w:t>
      </w:r>
      <w:r w:rsidRPr="00954D9F">
        <w:rPr>
          <w:rStyle w:val="Lienhypertexte"/>
          <w:rFonts w:ascii="Times New Roman" w:hAnsi="Times New Roman"/>
          <w:color w:val="auto"/>
          <w:u w:val="none"/>
          <w:lang w:val="en-US"/>
        </w:rPr>
        <w:t xml:space="preserve">, </w:t>
      </w:r>
      <w:r w:rsidR="007D1390" w:rsidRPr="00954D9F">
        <w:rPr>
          <w:rStyle w:val="Lienhypertexte"/>
          <w:rFonts w:ascii="Times New Roman" w:hAnsi="Times New Roman"/>
          <w:color w:val="auto"/>
          <w:u w:val="none"/>
          <w:lang w:val="en-US"/>
        </w:rPr>
        <w:t xml:space="preserve">parquet floor, </w:t>
      </w:r>
      <w:r w:rsidRPr="00954D9F">
        <w:rPr>
          <w:rStyle w:val="Lienhypertexte"/>
          <w:rFonts w:ascii="Times New Roman" w:hAnsi="Times New Roman"/>
          <w:color w:val="auto"/>
          <w:u w:val="none"/>
          <w:lang w:val="en-US"/>
        </w:rPr>
        <w:t>etc.</w:t>
      </w:r>
    </w:p>
    <w:p w:rsidR="00823FA4" w:rsidRPr="00954D9F" w:rsidRDefault="00030E03" w:rsidP="00D71364">
      <w:pPr>
        <w:pStyle w:val="Paragraphedeliste"/>
        <w:numPr>
          <w:ilvl w:val="0"/>
          <w:numId w:val="11"/>
        </w:numPr>
        <w:spacing w:after="0"/>
        <w:jc w:val="both"/>
        <w:rPr>
          <w:rStyle w:val="Lienhypertexte"/>
          <w:rFonts w:ascii="Times New Roman" w:hAnsi="Times New Roman"/>
          <w:color w:val="auto"/>
          <w:u w:val="none"/>
          <w:lang w:val="en-US"/>
        </w:rPr>
      </w:pPr>
      <w:proofErr w:type="gramStart"/>
      <w:r w:rsidRPr="00954D9F">
        <w:rPr>
          <w:rStyle w:val="Lienhypertexte"/>
          <w:rFonts w:ascii="Times New Roman" w:hAnsi="Times New Roman"/>
          <w:color w:val="auto"/>
          <w:u w:val="none"/>
          <w:lang w:val="en-US"/>
        </w:rPr>
        <w:t>m</w:t>
      </w:r>
      <w:r w:rsidR="00823FA4" w:rsidRPr="00954D9F">
        <w:rPr>
          <w:rStyle w:val="Lienhypertexte"/>
          <w:rFonts w:ascii="Times New Roman" w:hAnsi="Times New Roman"/>
          <w:color w:val="auto"/>
          <w:u w:val="none"/>
          <w:lang w:val="en-US"/>
        </w:rPr>
        <w:t>aterials</w:t>
      </w:r>
      <w:proofErr w:type="gramEnd"/>
      <w:r w:rsidR="00823FA4" w:rsidRPr="00954D9F">
        <w:rPr>
          <w:rStyle w:val="Lienhypertexte"/>
          <w:rFonts w:ascii="Times New Roman" w:hAnsi="Times New Roman"/>
          <w:color w:val="auto"/>
          <w:u w:val="none"/>
          <w:lang w:val="en-US"/>
        </w:rPr>
        <w:t xml:space="preserve"> produced with new technologies that reduce the labor force whose cost has increased </w:t>
      </w:r>
      <w:r w:rsidRPr="00954D9F">
        <w:rPr>
          <w:rStyle w:val="Lienhypertexte"/>
          <w:rFonts w:ascii="Times New Roman" w:hAnsi="Times New Roman"/>
          <w:color w:val="auto"/>
          <w:u w:val="none"/>
          <w:lang w:val="en-US"/>
        </w:rPr>
        <w:t xml:space="preserve">: </w:t>
      </w:r>
      <w:r w:rsidR="00823FA4" w:rsidRPr="00954D9F">
        <w:rPr>
          <w:rStyle w:val="Lienhypertexte"/>
          <w:rFonts w:ascii="Times New Roman" w:hAnsi="Times New Roman"/>
          <w:color w:val="auto"/>
          <w:u w:val="none"/>
          <w:lang w:val="en-US"/>
        </w:rPr>
        <w:t>larger ceramic plates that are mounted faster, paint that should be passed in a single layer, etc.</w:t>
      </w:r>
    </w:p>
    <w:p w:rsidR="00CD6C4D" w:rsidRPr="00CD6C4D" w:rsidRDefault="00030E03" w:rsidP="00CD6C4D">
      <w:pPr>
        <w:pStyle w:val="Paragraphedeliste"/>
        <w:numPr>
          <w:ilvl w:val="0"/>
          <w:numId w:val="11"/>
        </w:numPr>
        <w:spacing w:after="0"/>
        <w:jc w:val="both"/>
        <w:rPr>
          <w:rStyle w:val="Lienhypertexte"/>
          <w:rFonts w:ascii="Times New Roman" w:hAnsi="Times New Roman"/>
          <w:color w:val="auto"/>
          <w:u w:val="none"/>
        </w:rPr>
      </w:pPr>
      <w:r w:rsidRPr="00D71364">
        <w:rPr>
          <w:rStyle w:val="Lienhypertexte"/>
          <w:rFonts w:ascii="Times New Roman" w:hAnsi="Times New Roman"/>
          <w:color w:val="auto"/>
          <w:u w:val="none"/>
        </w:rPr>
        <w:t xml:space="preserve">new </w:t>
      </w:r>
      <w:proofErr w:type="spellStart"/>
      <w:r w:rsidRPr="00D71364">
        <w:rPr>
          <w:rStyle w:val="Lienhypertexte"/>
          <w:rFonts w:ascii="Times New Roman" w:hAnsi="Times New Roman"/>
          <w:color w:val="auto"/>
          <w:u w:val="none"/>
        </w:rPr>
        <w:t>tools</w:t>
      </w:r>
      <w:proofErr w:type="spellEnd"/>
      <w:r w:rsidRPr="00D71364">
        <w:rPr>
          <w:rStyle w:val="Lienhypertexte"/>
          <w:rFonts w:ascii="Times New Roman" w:hAnsi="Times New Roman"/>
          <w:color w:val="auto"/>
          <w:u w:val="none"/>
        </w:rPr>
        <w:t xml:space="preserve"> and </w:t>
      </w:r>
      <w:proofErr w:type="spellStart"/>
      <w:r w:rsidR="007C5328" w:rsidRPr="00D71364">
        <w:rPr>
          <w:rStyle w:val="Lienhypertexte"/>
          <w:rFonts w:ascii="Times New Roman" w:hAnsi="Times New Roman"/>
          <w:color w:val="auto"/>
          <w:u w:val="none"/>
        </w:rPr>
        <w:t>equipment</w:t>
      </w:r>
      <w:proofErr w:type="spellEnd"/>
    </w:p>
    <w:p w:rsidR="00CD6C4D" w:rsidRDefault="00CD6C4D" w:rsidP="00CD6C4D">
      <w:pPr>
        <w:spacing w:after="0" w:line="240" w:lineRule="auto"/>
        <w:jc w:val="both"/>
        <w:rPr>
          <w:rFonts w:ascii="Times New Roman" w:eastAsia="MS Mincho" w:hAnsi="Times New Roman"/>
          <w:b/>
          <w:sz w:val="24"/>
          <w:szCs w:val="24"/>
          <w:lang w:val="en-US" w:eastAsia="fr-FR"/>
        </w:rPr>
      </w:pPr>
    </w:p>
    <w:p w:rsidR="00371611" w:rsidRPr="00EA0AF0" w:rsidRDefault="00CD6C4D" w:rsidP="00CD6C4D">
      <w:pPr>
        <w:spacing w:after="0" w:line="240" w:lineRule="auto"/>
        <w:jc w:val="both"/>
        <w:rPr>
          <w:rFonts w:ascii="Times New Roman" w:eastAsia="MS Mincho" w:hAnsi="Times New Roman"/>
          <w:b/>
          <w:sz w:val="24"/>
          <w:szCs w:val="24"/>
          <w:lang w:val="en-US" w:eastAsia="fr-FR"/>
        </w:rPr>
      </w:pPr>
      <w:r>
        <w:rPr>
          <w:rFonts w:ascii="Times New Roman" w:eastAsia="MS Mincho" w:hAnsi="Times New Roman"/>
          <w:b/>
          <w:sz w:val="24"/>
          <w:szCs w:val="24"/>
          <w:lang w:val="en-US" w:eastAsia="fr-FR"/>
        </w:rPr>
        <w:t xml:space="preserve">6. </w:t>
      </w:r>
      <w:r w:rsidR="00371611" w:rsidRPr="00EA0AF0">
        <w:rPr>
          <w:rFonts w:ascii="Times New Roman" w:eastAsia="MS Mincho" w:hAnsi="Times New Roman"/>
          <w:b/>
          <w:sz w:val="24"/>
          <w:szCs w:val="24"/>
          <w:lang w:val="en-US" w:eastAsia="fr-FR"/>
        </w:rPr>
        <w:t>Useful links</w:t>
      </w:r>
      <w:r w:rsidR="008D5FD9" w:rsidRPr="00EA0AF0">
        <w:rPr>
          <w:rFonts w:ascii="Times New Roman" w:eastAsia="MS Mincho" w:hAnsi="Times New Roman"/>
          <w:b/>
          <w:sz w:val="24"/>
          <w:szCs w:val="24"/>
          <w:lang w:val="en-US" w:eastAsia="fr-FR"/>
        </w:rPr>
        <w:t xml:space="preserve"> </w:t>
      </w:r>
    </w:p>
    <w:p w:rsidR="00035784" w:rsidRPr="00CD6C4D" w:rsidRDefault="00035784" w:rsidP="00845E08">
      <w:pPr>
        <w:spacing w:after="0"/>
        <w:jc w:val="both"/>
        <w:rPr>
          <w:rStyle w:val="Lienhypertexte"/>
          <w:rFonts w:ascii="Times New Roman" w:hAnsi="Times New Roman"/>
          <w:color w:val="auto"/>
          <w:sz w:val="8"/>
          <w:szCs w:val="8"/>
          <w:u w:val="none"/>
          <w:lang w:val="en-US"/>
        </w:rPr>
      </w:pPr>
    </w:p>
    <w:p w:rsidR="00F26A77" w:rsidRPr="00EA0AF0" w:rsidRDefault="00F26A77" w:rsidP="00845E08">
      <w:pPr>
        <w:spacing w:after="0"/>
        <w:jc w:val="both"/>
        <w:rPr>
          <w:rStyle w:val="Lienhypertexte"/>
          <w:rFonts w:ascii="Times New Roman" w:hAnsi="Times New Roman"/>
          <w:color w:val="auto"/>
          <w:u w:val="none"/>
        </w:rPr>
      </w:pPr>
      <w:proofErr w:type="spellStart"/>
      <w:r w:rsidRPr="00EA0AF0">
        <w:rPr>
          <w:rStyle w:val="Lienhypertexte"/>
          <w:rFonts w:ascii="Times New Roman" w:hAnsi="Times New Roman"/>
          <w:color w:val="auto"/>
          <w:u w:val="none"/>
        </w:rPr>
        <w:t>Romanian</w:t>
      </w:r>
      <w:proofErr w:type="spellEnd"/>
      <w:r w:rsidRPr="00EA0AF0">
        <w:rPr>
          <w:rStyle w:val="Lienhypertexte"/>
          <w:rFonts w:ascii="Times New Roman" w:hAnsi="Times New Roman"/>
          <w:color w:val="auto"/>
          <w:u w:val="none"/>
        </w:rPr>
        <w:t xml:space="preserve"> Association of Construction Entrepreneurs – ARACO: </w:t>
      </w:r>
      <w:hyperlink r:id="rId17" w:history="1">
        <w:r w:rsidR="002B47C5" w:rsidRPr="00EA0AF0">
          <w:rPr>
            <w:rStyle w:val="Lienhypertexte"/>
            <w:rFonts w:ascii="Times New Roman" w:hAnsi="Times New Roman"/>
          </w:rPr>
          <w:t>http://www.araco.org</w:t>
        </w:r>
      </w:hyperlink>
    </w:p>
    <w:p w:rsidR="002B47C5" w:rsidRPr="00EA0AF0" w:rsidRDefault="001B235B" w:rsidP="00845E08">
      <w:pPr>
        <w:spacing w:after="0"/>
        <w:jc w:val="both"/>
        <w:rPr>
          <w:rStyle w:val="Lienhypertexte"/>
          <w:rFonts w:ascii="Times New Roman" w:hAnsi="Times New Roman"/>
          <w:color w:val="auto"/>
          <w:u w:val="none"/>
          <w:lang w:val="en-US"/>
        </w:rPr>
      </w:pPr>
      <w:r w:rsidRPr="00EA0AF0">
        <w:rPr>
          <w:rStyle w:val="Lienhypertexte"/>
          <w:rFonts w:ascii="Times New Roman" w:hAnsi="Times New Roman"/>
          <w:color w:val="auto"/>
          <w:u w:val="none"/>
          <w:lang w:val="en-US"/>
        </w:rPr>
        <w:t xml:space="preserve">Patronage of Construction Companies - PSC: </w:t>
      </w:r>
      <w:hyperlink r:id="rId18" w:history="1">
        <w:r w:rsidRPr="00EA0AF0">
          <w:rPr>
            <w:rStyle w:val="Lienhypertexte"/>
            <w:rFonts w:ascii="Times New Roman" w:hAnsi="Times New Roman"/>
            <w:lang w:val="en-US"/>
          </w:rPr>
          <w:t>https://www.psc.ro</w:t>
        </w:r>
      </w:hyperlink>
    </w:p>
    <w:p w:rsidR="00821129" w:rsidRPr="00EA0AF0" w:rsidRDefault="00821129" w:rsidP="00845E08">
      <w:pPr>
        <w:shd w:val="clear" w:color="auto" w:fill="FFFFFF"/>
        <w:spacing w:after="0"/>
        <w:rPr>
          <w:rStyle w:val="Lienhypertexte"/>
          <w:rFonts w:ascii="Times New Roman" w:hAnsi="Times New Roman"/>
          <w:color w:val="auto"/>
          <w:u w:val="none"/>
          <w:lang w:val="en-US"/>
        </w:rPr>
      </w:pPr>
      <w:r w:rsidRPr="00EA0AF0">
        <w:rPr>
          <w:rStyle w:val="Lienhypertexte"/>
          <w:rFonts w:ascii="Times New Roman" w:hAnsi="Times New Roman"/>
          <w:color w:val="auto"/>
          <w:u w:val="none"/>
          <w:lang w:val="en-US"/>
        </w:rPr>
        <w:t xml:space="preserve">Romanian Association for the Promotion of Energy Efficiency – ARPEE: </w:t>
      </w:r>
      <w:hyperlink r:id="rId19" w:history="1">
        <w:r w:rsidRPr="00EA0AF0">
          <w:rPr>
            <w:rStyle w:val="Lienhypertexte"/>
            <w:rFonts w:ascii="Times New Roman" w:hAnsi="Times New Roman"/>
            <w:lang w:val="en-US"/>
          </w:rPr>
          <w:t>https://arpee.org.ro</w:t>
        </w:r>
      </w:hyperlink>
    </w:p>
    <w:p w:rsidR="00AD4C96" w:rsidRPr="00EA0AF0" w:rsidRDefault="007A2836" w:rsidP="00845E08">
      <w:pPr>
        <w:shd w:val="clear" w:color="auto" w:fill="FFFFFF"/>
        <w:spacing w:after="0"/>
        <w:rPr>
          <w:rStyle w:val="Lienhypertexte"/>
          <w:rFonts w:ascii="Times New Roman" w:hAnsi="Times New Roman"/>
          <w:color w:val="auto"/>
          <w:u w:val="none"/>
          <w:lang w:val="en-US"/>
        </w:rPr>
      </w:pPr>
      <w:hyperlink r:id="rId20" w:history="1">
        <w:r w:rsidR="00AD4C96" w:rsidRPr="00EA0AF0">
          <w:rPr>
            <w:rStyle w:val="Lienhypertexte"/>
            <w:rFonts w:ascii="Times New Roman" w:hAnsi="Times New Roman"/>
            <w:color w:val="auto"/>
            <w:u w:val="none"/>
            <w:lang w:val="en-US"/>
          </w:rPr>
          <w:t>Center for the Promotion of Clean and Efficient Energy in Romania</w:t>
        </w:r>
      </w:hyperlink>
      <w:r w:rsidR="00AD4C96" w:rsidRPr="00EA0AF0">
        <w:rPr>
          <w:rStyle w:val="Lienhypertexte"/>
          <w:rFonts w:ascii="Times New Roman" w:hAnsi="Times New Roman"/>
          <w:color w:val="auto"/>
          <w:u w:val="none"/>
          <w:lang w:val="en-US"/>
        </w:rPr>
        <w:t xml:space="preserve"> – ENERO: </w:t>
      </w:r>
      <w:hyperlink r:id="rId21" w:history="1">
        <w:r w:rsidR="00AD4C96" w:rsidRPr="00EA0AF0">
          <w:rPr>
            <w:rStyle w:val="Lienhypertexte"/>
            <w:rFonts w:ascii="Times New Roman" w:hAnsi="Times New Roman"/>
            <w:lang w:val="en-US"/>
          </w:rPr>
          <w:t>http://www.enero.ro</w:t>
        </w:r>
      </w:hyperlink>
    </w:p>
    <w:p w:rsidR="006C6646" w:rsidRPr="00EA0AF0" w:rsidRDefault="006C6646" w:rsidP="00084491">
      <w:pPr>
        <w:spacing w:after="0" w:line="240" w:lineRule="auto"/>
        <w:jc w:val="both"/>
        <w:rPr>
          <w:rStyle w:val="Lienhypertexte"/>
          <w:rFonts w:ascii="Times New Roman" w:hAnsi="Times New Roman"/>
          <w:i/>
          <w:color w:val="auto"/>
          <w:sz w:val="16"/>
          <w:szCs w:val="16"/>
          <w:u w:val="none"/>
          <w:lang w:val="en-US"/>
        </w:rPr>
      </w:pPr>
    </w:p>
    <w:p w:rsidR="00CD6C4D" w:rsidRDefault="00821129" w:rsidP="00084491">
      <w:pPr>
        <w:spacing w:after="0" w:line="240" w:lineRule="auto"/>
        <w:jc w:val="both"/>
        <w:rPr>
          <w:rStyle w:val="Lienhypertexte"/>
          <w:rFonts w:ascii="Times New Roman" w:hAnsi="Times New Roman"/>
          <w:color w:val="auto"/>
          <w:u w:val="none"/>
          <w:lang w:val="fr-FR"/>
        </w:rPr>
      </w:pPr>
      <w:r w:rsidRPr="00EA0AF0">
        <w:rPr>
          <w:rStyle w:val="Lienhypertexte"/>
          <w:rFonts w:ascii="Times New Roman" w:hAnsi="Times New Roman"/>
          <w:color w:val="auto"/>
          <w:u w:val="none"/>
          <w:lang w:val="fr-FR"/>
        </w:rPr>
        <w:t>Fiche rédigée par : Adina</w:t>
      </w:r>
      <w:r w:rsidR="0051273A" w:rsidRPr="00EA0AF0">
        <w:rPr>
          <w:rStyle w:val="Lienhypertexte"/>
          <w:rFonts w:ascii="Times New Roman" w:hAnsi="Times New Roman"/>
          <w:color w:val="auto"/>
          <w:u w:val="none"/>
          <w:lang w:val="fr-FR"/>
        </w:rPr>
        <w:t xml:space="preserve"> I</w:t>
      </w:r>
      <w:r w:rsidRPr="00EA0AF0">
        <w:rPr>
          <w:rStyle w:val="Lienhypertexte"/>
          <w:rFonts w:ascii="Times New Roman" w:hAnsi="Times New Roman"/>
          <w:color w:val="auto"/>
          <w:u w:val="none"/>
          <w:lang w:val="fr-FR"/>
        </w:rPr>
        <w:t>HORA</w:t>
      </w:r>
      <w:r w:rsidR="001F0EB9" w:rsidRPr="00EA0AF0">
        <w:rPr>
          <w:rStyle w:val="Lienhypertexte"/>
          <w:rFonts w:ascii="Times New Roman" w:hAnsi="Times New Roman"/>
          <w:color w:val="auto"/>
          <w:u w:val="none"/>
          <w:lang w:val="fr-FR"/>
        </w:rPr>
        <w:t xml:space="preserve"> </w:t>
      </w:r>
    </w:p>
    <w:p w:rsidR="001F0EB9" w:rsidRPr="00EA0AF0" w:rsidRDefault="001F0EB9" w:rsidP="00084491">
      <w:pPr>
        <w:spacing w:after="0" w:line="240" w:lineRule="auto"/>
        <w:jc w:val="both"/>
        <w:rPr>
          <w:rStyle w:val="Lienhypertexte"/>
          <w:rFonts w:ascii="Times New Roman" w:hAnsi="Times New Roman"/>
          <w:color w:val="auto"/>
          <w:u w:val="none"/>
          <w:lang w:val="fr-FR"/>
        </w:rPr>
      </w:pPr>
      <w:r w:rsidRPr="00EA0AF0">
        <w:rPr>
          <w:rStyle w:val="Lienhypertexte"/>
          <w:rFonts w:ascii="Times New Roman" w:hAnsi="Times New Roman"/>
          <w:color w:val="auto"/>
          <w:u w:val="none"/>
          <w:lang w:val="fr-FR"/>
        </w:rPr>
        <w:t xml:space="preserve">Date: </w:t>
      </w:r>
      <w:r w:rsidR="006A00D8" w:rsidRPr="00EA0AF0">
        <w:rPr>
          <w:rStyle w:val="Lienhypertexte"/>
          <w:rFonts w:ascii="Times New Roman" w:hAnsi="Times New Roman"/>
          <w:color w:val="auto"/>
          <w:u w:val="none"/>
          <w:lang w:val="fr-FR"/>
        </w:rPr>
        <w:t>31</w:t>
      </w:r>
      <w:r w:rsidR="0051273A" w:rsidRPr="00EA0AF0">
        <w:rPr>
          <w:rStyle w:val="Lienhypertexte"/>
          <w:rFonts w:ascii="Times New Roman" w:hAnsi="Times New Roman"/>
          <w:color w:val="auto"/>
          <w:u w:val="none"/>
          <w:lang w:val="fr-FR"/>
        </w:rPr>
        <w:t>/08/2018</w:t>
      </w:r>
      <w:r w:rsidRPr="00EA0AF0">
        <w:rPr>
          <w:rStyle w:val="Lienhypertexte"/>
          <w:rFonts w:ascii="Times New Roman" w:hAnsi="Times New Roman"/>
          <w:color w:val="auto"/>
          <w:u w:val="none"/>
          <w:lang w:val="fr-FR"/>
        </w:rPr>
        <w:t xml:space="preserve"> </w:t>
      </w:r>
    </w:p>
    <w:sectPr w:rsidR="001F0EB9" w:rsidRPr="00EA0AF0" w:rsidSect="006C6646">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4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36" w:rsidRDefault="007A2836" w:rsidP="0065506D">
      <w:pPr>
        <w:spacing w:after="0" w:line="240" w:lineRule="auto"/>
      </w:pPr>
      <w:r>
        <w:separator/>
      </w:r>
    </w:p>
  </w:endnote>
  <w:endnote w:type="continuationSeparator" w:id="0">
    <w:p w:rsidR="007A2836" w:rsidRDefault="007A2836"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B9" w:rsidRDefault="002336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B9" w:rsidRPr="00FC7B18" w:rsidRDefault="002336B9" w:rsidP="00FC7B18">
    <w:pPr>
      <w:pStyle w:val="Pieddepage"/>
      <w:spacing w:before="240"/>
      <w:ind w:left="-1417" w:firstLine="708"/>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B9" w:rsidRDefault="002336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36" w:rsidRDefault="007A2836" w:rsidP="0065506D">
      <w:pPr>
        <w:spacing w:after="0" w:line="240" w:lineRule="auto"/>
      </w:pPr>
      <w:r>
        <w:separator/>
      </w:r>
    </w:p>
  </w:footnote>
  <w:footnote w:type="continuationSeparator" w:id="0">
    <w:p w:rsidR="007A2836" w:rsidRDefault="007A2836"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B9" w:rsidRDefault="002336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B9" w:rsidRDefault="002336B9"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8752" behindDoc="0" locked="0" layoutInCell="1" allowOverlap="1" wp14:anchorId="67DEE066" wp14:editId="6C53A5CF">
              <wp:simplePos x="0" y="0"/>
              <wp:positionH relativeFrom="column">
                <wp:posOffset>440690</wp:posOffset>
              </wp:positionH>
              <wp:positionV relativeFrom="paragraph">
                <wp:posOffset>-213995</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336B9" w:rsidRPr="00B93D27" w:rsidRDefault="002336B9">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0" o:spid="_x0000_s1027" type="#_x0000_t202" style="position:absolute;margin-left:34.7pt;margin-top:-16.85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ltgIAAEE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" fillcolor="#365f91" stroked="f" strokeweight=".5pt">
              <v:fill opacity="2570f"/>
              <v:textbox>
                <w:txbxContent>
                  <w:p w:rsidR="002336B9" w:rsidRPr="00B93D27" w:rsidRDefault="002336B9">
                    <w:pPr>
                      <w:rPr>
                        <w:b/>
                      </w:rPr>
                    </w:pPr>
                    <w:r w:rsidRPr="00543A2F">
                      <w:rPr>
                        <w:rFonts w:ascii="Times New Roman" w:hAnsi="Times New Roman"/>
                        <w:b/>
                        <w:color w:val="FFFFFF"/>
                        <w:sz w:val="56"/>
                        <w:szCs w:val="72"/>
                      </w:rPr>
                      <w:t xml:space="preserve">     FICHE SECTORIELLE                                               </w:t>
                    </w:r>
                  </w:p>
                </w:txbxContent>
              </v:textbox>
            </v:shape>
          </w:pict>
        </mc:Fallback>
      </mc:AlternateContent>
    </w:r>
    <w:r>
      <w:rPr>
        <w:noProof/>
        <w:lang w:val="fr-FR" w:eastAsia="fr-FR"/>
      </w:rPr>
      <mc:AlternateContent>
        <mc:Choice Requires="wps">
          <w:drawing>
            <wp:anchor distT="0" distB="0" distL="114300" distR="114300" simplePos="0" relativeHeight="251656704" behindDoc="0" locked="0" layoutInCell="1" allowOverlap="1" wp14:anchorId="600CE099" wp14:editId="691124B9">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2336B9" w:rsidRDefault="002336B9" w:rsidP="001D22EF">
                          <w:pPr>
                            <w:spacing w:line="240" w:lineRule="auto"/>
                            <w:rPr>
                              <w:rFonts w:ascii="Times New Roman" w:hAnsi="Times New Roman"/>
                              <w:sz w:val="56"/>
                              <w:szCs w:val="72"/>
                            </w:rPr>
                          </w:pPr>
                          <w:r>
                            <w:rPr>
                              <w:rFonts w:ascii="Times New Roman" w:hAnsi="Times New Roman"/>
                              <w:sz w:val="56"/>
                              <w:szCs w:val="72"/>
                            </w:rPr>
                            <w:t xml:space="preserve">                                                                           </w:t>
                          </w:r>
                          <w:r>
                            <w:rPr>
                              <w:rFonts w:ascii="Times New Roman" w:hAnsi="Times New Roman"/>
                              <w:noProof/>
                              <w:sz w:val="72"/>
                              <w:szCs w:val="72"/>
                              <w:lang w:val="fr-FR" w:eastAsia="fr-FR"/>
                            </w:rPr>
                            <w:drawing>
                              <wp:inline distT="0" distB="0" distL="0" distR="0" wp14:anchorId="460E9543" wp14:editId="3880F60B">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2336B9" w:rsidRPr="00F53884" w:rsidRDefault="002336B9"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" fillcolor="#2c5d98" strokecolor="#4579b8">
              <v:fill color2="#3a7ccb" rotate="t" angle="180" colors="0 #2c5d98;52429f #3c7bc7;1 #3a7ccb" focus="100%" type="gradient">
                <o:fill v:ext="view" type="gradientUnscaled"/>
              </v:fill>
              <v:shadow on="t" color="black" opacity="22936f" origin=",.5" offset="0,.63889mm"/>
              <v:textbox>
                <w:txbxContent>
                  <w:p w:rsidR="002336B9" w:rsidRDefault="002336B9" w:rsidP="001D22EF">
                    <w:pPr>
                      <w:spacing w:line="240" w:lineRule="auto"/>
                      <w:rPr>
                        <w:rFonts w:ascii="Times New Roman" w:hAnsi="Times New Roman"/>
                        <w:sz w:val="56"/>
                        <w:szCs w:val="72"/>
                      </w:rPr>
                    </w:pPr>
                    <w:r>
                      <w:rPr>
                        <w:rFonts w:ascii="Times New Roman" w:hAnsi="Times New Roman"/>
                        <w:sz w:val="56"/>
                        <w:szCs w:val="72"/>
                      </w:rPr>
                      <w:t xml:space="preserve">                                                                           </w:t>
                    </w:r>
                    <w:r>
                      <w:rPr>
                        <w:rFonts w:ascii="Times New Roman" w:hAnsi="Times New Roman"/>
                        <w:noProof/>
                        <w:sz w:val="72"/>
                        <w:szCs w:val="72"/>
                        <w:lang w:val="ro-RO" w:eastAsia="ro-RO"/>
                      </w:rPr>
                      <w:drawing>
                        <wp:inline distT="0" distB="0" distL="0" distR="0" wp14:anchorId="460E9543" wp14:editId="3880F60B">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2336B9" w:rsidRPr="00F53884" w:rsidRDefault="002336B9"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tab/>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B9" w:rsidRDefault="002336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CB8"/>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121AB"/>
    <w:multiLevelType w:val="hybridMultilevel"/>
    <w:tmpl w:val="DE9CA3E0"/>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43419"/>
    <w:multiLevelType w:val="hybridMultilevel"/>
    <w:tmpl w:val="CA5E16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53123C"/>
    <w:multiLevelType w:val="hybridMultilevel"/>
    <w:tmpl w:val="1EA273B8"/>
    <w:lvl w:ilvl="0" w:tplc="F48645A4">
      <w:start w:val="5"/>
      <w:numFmt w:val="bullet"/>
      <w:lvlText w:val="-"/>
      <w:lvlJc w:val="left"/>
      <w:pPr>
        <w:ind w:left="720" w:hanging="360"/>
      </w:pPr>
      <w:rPr>
        <w:rFonts w:ascii="Calibri" w:eastAsia="Calibr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C2828F1"/>
    <w:multiLevelType w:val="hybridMultilevel"/>
    <w:tmpl w:val="AA96F11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4055D2B"/>
    <w:multiLevelType w:val="hybridMultilevel"/>
    <w:tmpl w:val="C67C2666"/>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031A5A"/>
    <w:multiLevelType w:val="hybridMultilevel"/>
    <w:tmpl w:val="59B291C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52B6ECF"/>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214F7"/>
    <w:multiLevelType w:val="hybridMultilevel"/>
    <w:tmpl w:val="E5ACB6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9"/>
  </w:num>
  <w:num w:numId="6">
    <w:abstractNumId w:val="10"/>
  </w:num>
  <w:num w:numId="7">
    <w:abstractNumId w:val="7"/>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2A4F"/>
    <w:rsid w:val="00004813"/>
    <w:rsid w:val="000116BD"/>
    <w:rsid w:val="000209CD"/>
    <w:rsid w:val="00030E03"/>
    <w:rsid w:val="00035784"/>
    <w:rsid w:val="00041BFD"/>
    <w:rsid w:val="00043659"/>
    <w:rsid w:val="00045ABA"/>
    <w:rsid w:val="00047BC9"/>
    <w:rsid w:val="00051B44"/>
    <w:rsid w:val="00054B7F"/>
    <w:rsid w:val="000565C9"/>
    <w:rsid w:val="00061EAD"/>
    <w:rsid w:val="00070656"/>
    <w:rsid w:val="00077F4E"/>
    <w:rsid w:val="00084491"/>
    <w:rsid w:val="0009524D"/>
    <w:rsid w:val="000A0D56"/>
    <w:rsid w:val="000A40FB"/>
    <w:rsid w:val="000A6594"/>
    <w:rsid w:val="000A6B8D"/>
    <w:rsid w:val="000A78DD"/>
    <w:rsid w:val="000B6B14"/>
    <w:rsid w:val="000C1505"/>
    <w:rsid w:val="000C61E4"/>
    <w:rsid w:val="000C6F0D"/>
    <w:rsid w:val="000E29B9"/>
    <w:rsid w:val="000E3055"/>
    <w:rsid w:val="000E4B00"/>
    <w:rsid w:val="000E53FD"/>
    <w:rsid w:val="000F0506"/>
    <w:rsid w:val="000F0C22"/>
    <w:rsid w:val="000F1AC4"/>
    <w:rsid w:val="000F767D"/>
    <w:rsid w:val="00133FE3"/>
    <w:rsid w:val="00134436"/>
    <w:rsid w:val="0014198C"/>
    <w:rsid w:val="001441BA"/>
    <w:rsid w:val="00145DA5"/>
    <w:rsid w:val="00156C7E"/>
    <w:rsid w:val="00174ADD"/>
    <w:rsid w:val="00174C70"/>
    <w:rsid w:val="00177A6C"/>
    <w:rsid w:val="00182FB0"/>
    <w:rsid w:val="00185786"/>
    <w:rsid w:val="00191356"/>
    <w:rsid w:val="001A4745"/>
    <w:rsid w:val="001B2359"/>
    <w:rsid w:val="001B235B"/>
    <w:rsid w:val="001B524E"/>
    <w:rsid w:val="001C26FB"/>
    <w:rsid w:val="001C6A6F"/>
    <w:rsid w:val="001D22EF"/>
    <w:rsid w:val="001D6487"/>
    <w:rsid w:val="001D7540"/>
    <w:rsid w:val="001F027C"/>
    <w:rsid w:val="001F0EB9"/>
    <w:rsid w:val="001F2C7D"/>
    <w:rsid w:val="001F3659"/>
    <w:rsid w:val="0020156C"/>
    <w:rsid w:val="002171C0"/>
    <w:rsid w:val="00221DA9"/>
    <w:rsid w:val="00223CAD"/>
    <w:rsid w:val="002336B9"/>
    <w:rsid w:val="00237206"/>
    <w:rsid w:val="0025474F"/>
    <w:rsid w:val="00256589"/>
    <w:rsid w:val="00260AF2"/>
    <w:rsid w:val="00261EB0"/>
    <w:rsid w:val="002720C8"/>
    <w:rsid w:val="002736E1"/>
    <w:rsid w:val="00275807"/>
    <w:rsid w:val="00276060"/>
    <w:rsid w:val="00286F26"/>
    <w:rsid w:val="00290BB2"/>
    <w:rsid w:val="002A3D7E"/>
    <w:rsid w:val="002B04C5"/>
    <w:rsid w:val="002B47C5"/>
    <w:rsid w:val="002C7467"/>
    <w:rsid w:val="002D6F74"/>
    <w:rsid w:val="002F0B50"/>
    <w:rsid w:val="002F50EB"/>
    <w:rsid w:val="002F5CDE"/>
    <w:rsid w:val="00305661"/>
    <w:rsid w:val="00340240"/>
    <w:rsid w:val="003417FC"/>
    <w:rsid w:val="00343D1D"/>
    <w:rsid w:val="00344CB6"/>
    <w:rsid w:val="00351675"/>
    <w:rsid w:val="003577A8"/>
    <w:rsid w:val="003600FF"/>
    <w:rsid w:val="00365739"/>
    <w:rsid w:val="003665CD"/>
    <w:rsid w:val="00367013"/>
    <w:rsid w:val="00371611"/>
    <w:rsid w:val="00372B50"/>
    <w:rsid w:val="003840CA"/>
    <w:rsid w:val="00384B30"/>
    <w:rsid w:val="00385FE9"/>
    <w:rsid w:val="00387AAF"/>
    <w:rsid w:val="00392910"/>
    <w:rsid w:val="00396952"/>
    <w:rsid w:val="003A02BA"/>
    <w:rsid w:val="003A0E05"/>
    <w:rsid w:val="003A30B1"/>
    <w:rsid w:val="003B0C17"/>
    <w:rsid w:val="003B17C8"/>
    <w:rsid w:val="003B4438"/>
    <w:rsid w:val="003C1A1B"/>
    <w:rsid w:val="003C4F9E"/>
    <w:rsid w:val="003C72C4"/>
    <w:rsid w:val="003D1886"/>
    <w:rsid w:val="003D278C"/>
    <w:rsid w:val="003E2C68"/>
    <w:rsid w:val="003E74CE"/>
    <w:rsid w:val="003F5E07"/>
    <w:rsid w:val="003F5E57"/>
    <w:rsid w:val="003F750D"/>
    <w:rsid w:val="004010F9"/>
    <w:rsid w:val="00401352"/>
    <w:rsid w:val="00403CF9"/>
    <w:rsid w:val="004047D3"/>
    <w:rsid w:val="00405A05"/>
    <w:rsid w:val="00406A72"/>
    <w:rsid w:val="00407B2D"/>
    <w:rsid w:val="00420962"/>
    <w:rsid w:val="00421386"/>
    <w:rsid w:val="00421414"/>
    <w:rsid w:val="00424287"/>
    <w:rsid w:val="00432940"/>
    <w:rsid w:val="00432E02"/>
    <w:rsid w:val="00440412"/>
    <w:rsid w:val="00442655"/>
    <w:rsid w:val="00444294"/>
    <w:rsid w:val="004528E4"/>
    <w:rsid w:val="0046209F"/>
    <w:rsid w:val="00467626"/>
    <w:rsid w:val="00492BF8"/>
    <w:rsid w:val="004A593D"/>
    <w:rsid w:val="004A6D97"/>
    <w:rsid w:val="004B2FE6"/>
    <w:rsid w:val="004C3CB0"/>
    <w:rsid w:val="004C40A7"/>
    <w:rsid w:val="004C7C62"/>
    <w:rsid w:val="004D6856"/>
    <w:rsid w:val="004D7E72"/>
    <w:rsid w:val="004E097E"/>
    <w:rsid w:val="004E1C50"/>
    <w:rsid w:val="004E3E6C"/>
    <w:rsid w:val="004E5BB0"/>
    <w:rsid w:val="004E72D0"/>
    <w:rsid w:val="004E77FC"/>
    <w:rsid w:val="004F6C6B"/>
    <w:rsid w:val="004F740F"/>
    <w:rsid w:val="00506560"/>
    <w:rsid w:val="00506864"/>
    <w:rsid w:val="005078C4"/>
    <w:rsid w:val="00507C72"/>
    <w:rsid w:val="0051273A"/>
    <w:rsid w:val="00514E65"/>
    <w:rsid w:val="00526BF3"/>
    <w:rsid w:val="005355DC"/>
    <w:rsid w:val="00536136"/>
    <w:rsid w:val="00542E04"/>
    <w:rsid w:val="00543A2F"/>
    <w:rsid w:val="005506E0"/>
    <w:rsid w:val="00556398"/>
    <w:rsid w:val="00557F93"/>
    <w:rsid w:val="005663AD"/>
    <w:rsid w:val="0056641F"/>
    <w:rsid w:val="00570E8E"/>
    <w:rsid w:val="00571D58"/>
    <w:rsid w:val="005772F6"/>
    <w:rsid w:val="00586574"/>
    <w:rsid w:val="00593107"/>
    <w:rsid w:val="00595B99"/>
    <w:rsid w:val="005A7401"/>
    <w:rsid w:val="005A7EA7"/>
    <w:rsid w:val="005B1DCB"/>
    <w:rsid w:val="005B51A0"/>
    <w:rsid w:val="005B55F2"/>
    <w:rsid w:val="005B7662"/>
    <w:rsid w:val="005C079C"/>
    <w:rsid w:val="005C1690"/>
    <w:rsid w:val="005C5621"/>
    <w:rsid w:val="005D0872"/>
    <w:rsid w:val="005D34EA"/>
    <w:rsid w:val="005D589A"/>
    <w:rsid w:val="005E1F1D"/>
    <w:rsid w:val="005E27CA"/>
    <w:rsid w:val="005E3E69"/>
    <w:rsid w:val="005F35CB"/>
    <w:rsid w:val="005F461F"/>
    <w:rsid w:val="00600725"/>
    <w:rsid w:val="00601BEC"/>
    <w:rsid w:val="00602610"/>
    <w:rsid w:val="00603B46"/>
    <w:rsid w:val="00604F56"/>
    <w:rsid w:val="006150BE"/>
    <w:rsid w:val="0061567D"/>
    <w:rsid w:val="00620B6A"/>
    <w:rsid w:val="00621468"/>
    <w:rsid w:val="006364E8"/>
    <w:rsid w:val="00640329"/>
    <w:rsid w:val="00640D71"/>
    <w:rsid w:val="0065506D"/>
    <w:rsid w:val="00655863"/>
    <w:rsid w:val="00657419"/>
    <w:rsid w:val="006726E8"/>
    <w:rsid w:val="006741EB"/>
    <w:rsid w:val="00676505"/>
    <w:rsid w:val="006776C7"/>
    <w:rsid w:val="00681339"/>
    <w:rsid w:val="00682ED6"/>
    <w:rsid w:val="006856FC"/>
    <w:rsid w:val="00685E2E"/>
    <w:rsid w:val="00686C7F"/>
    <w:rsid w:val="00691EE7"/>
    <w:rsid w:val="006A00D8"/>
    <w:rsid w:val="006B4D3F"/>
    <w:rsid w:val="006B5655"/>
    <w:rsid w:val="006B755D"/>
    <w:rsid w:val="006C0750"/>
    <w:rsid w:val="006C07BB"/>
    <w:rsid w:val="006C16B1"/>
    <w:rsid w:val="006C2F44"/>
    <w:rsid w:val="006C6646"/>
    <w:rsid w:val="006E6B79"/>
    <w:rsid w:val="006F211E"/>
    <w:rsid w:val="006F35E8"/>
    <w:rsid w:val="006F475B"/>
    <w:rsid w:val="006F6261"/>
    <w:rsid w:val="007018F3"/>
    <w:rsid w:val="00701C18"/>
    <w:rsid w:val="00713BFE"/>
    <w:rsid w:val="0071615D"/>
    <w:rsid w:val="00723AA5"/>
    <w:rsid w:val="00726E14"/>
    <w:rsid w:val="00727A90"/>
    <w:rsid w:val="00732FBA"/>
    <w:rsid w:val="0073508A"/>
    <w:rsid w:val="00740779"/>
    <w:rsid w:val="007407EC"/>
    <w:rsid w:val="0075019E"/>
    <w:rsid w:val="007505C2"/>
    <w:rsid w:val="00750FC4"/>
    <w:rsid w:val="00751B43"/>
    <w:rsid w:val="007616F0"/>
    <w:rsid w:val="007668AE"/>
    <w:rsid w:val="00772CD1"/>
    <w:rsid w:val="00773AF2"/>
    <w:rsid w:val="007759B0"/>
    <w:rsid w:val="00782810"/>
    <w:rsid w:val="00782FE0"/>
    <w:rsid w:val="00784D07"/>
    <w:rsid w:val="00787848"/>
    <w:rsid w:val="0079601C"/>
    <w:rsid w:val="007973B6"/>
    <w:rsid w:val="007A1E56"/>
    <w:rsid w:val="007A282D"/>
    <w:rsid w:val="007A2836"/>
    <w:rsid w:val="007A4E72"/>
    <w:rsid w:val="007C336F"/>
    <w:rsid w:val="007C5328"/>
    <w:rsid w:val="007D1390"/>
    <w:rsid w:val="007D1E2A"/>
    <w:rsid w:val="007E1D7F"/>
    <w:rsid w:val="007E7D77"/>
    <w:rsid w:val="007F2B4B"/>
    <w:rsid w:val="007F5C0B"/>
    <w:rsid w:val="007F6A91"/>
    <w:rsid w:val="00804ECE"/>
    <w:rsid w:val="00806CB7"/>
    <w:rsid w:val="00807427"/>
    <w:rsid w:val="0081063D"/>
    <w:rsid w:val="00814E41"/>
    <w:rsid w:val="00817C53"/>
    <w:rsid w:val="00821129"/>
    <w:rsid w:val="00823FA4"/>
    <w:rsid w:val="00827EEE"/>
    <w:rsid w:val="0083196E"/>
    <w:rsid w:val="00835B88"/>
    <w:rsid w:val="00835C6A"/>
    <w:rsid w:val="00840772"/>
    <w:rsid w:val="00845A86"/>
    <w:rsid w:val="00845E08"/>
    <w:rsid w:val="00852E1A"/>
    <w:rsid w:val="00853008"/>
    <w:rsid w:val="00855351"/>
    <w:rsid w:val="00861837"/>
    <w:rsid w:val="0086518D"/>
    <w:rsid w:val="00865514"/>
    <w:rsid w:val="00881D44"/>
    <w:rsid w:val="008831BB"/>
    <w:rsid w:val="0089223D"/>
    <w:rsid w:val="0089798C"/>
    <w:rsid w:val="008A68C5"/>
    <w:rsid w:val="008A6D03"/>
    <w:rsid w:val="008B1D1C"/>
    <w:rsid w:val="008C3E3D"/>
    <w:rsid w:val="008C4841"/>
    <w:rsid w:val="008C5BAE"/>
    <w:rsid w:val="008C6728"/>
    <w:rsid w:val="008D5FD9"/>
    <w:rsid w:val="008E24DE"/>
    <w:rsid w:val="008E6914"/>
    <w:rsid w:val="008E7E0D"/>
    <w:rsid w:val="008F11B4"/>
    <w:rsid w:val="008F23DF"/>
    <w:rsid w:val="0090509E"/>
    <w:rsid w:val="00905351"/>
    <w:rsid w:val="00910E98"/>
    <w:rsid w:val="00916C43"/>
    <w:rsid w:val="00920118"/>
    <w:rsid w:val="009239FF"/>
    <w:rsid w:val="00923B0C"/>
    <w:rsid w:val="00923D0C"/>
    <w:rsid w:val="00926B68"/>
    <w:rsid w:val="009273E7"/>
    <w:rsid w:val="0093612B"/>
    <w:rsid w:val="009424F2"/>
    <w:rsid w:val="00944621"/>
    <w:rsid w:val="00953E76"/>
    <w:rsid w:val="00954D9F"/>
    <w:rsid w:val="00961A09"/>
    <w:rsid w:val="009623A6"/>
    <w:rsid w:val="00963D9E"/>
    <w:rsid w:val="0096427E"/>
    <w:rsid w:val="00964F9B"/>
    <w:rsid w:val="00976F25"/>
    <w:rsid w:val="009774ED"/>
    <w:rsid w:val="00977FE4"/>
    <w:rsid w:val="0098284C"/>
    <w:rsid w:val="00985634"/>
    <w:rsid w:val="00990124"/>
    <w:rsid w:val="009A078D"/>
    <w:rsid w:val="009A1552"/>
    <w:rsid w:val="009A44FB"/>
    <w:rsid w:val="009A7DDB"/>
    <w:rsid w:val="009B26AD"/>
    <w:rsid w:val="009C64BB"/>
    <w:rsid w:val="009D14CD"/>
    <w:rsid w:val="009D3841"/>
    <w:rsid w:val="009D6F9E"/>
    <w:rsid w:val="009E0311"/>
    <w:rsid w:val="009E2782"/>
    <w:rsid w:val="009F1891"/>
    <w:rsid w:val="009F23DE"/>
    <w:rsid w:val="009F78D4"/>
    <w:rsid w:val="00A027F7"/>
    <w:rsid w:val="00A07158"/>
    <w:rsid w:val="00A10A00"/>
    <w:rsid w:val="00A22634"/>
    <w:rsid w:val="00A23CB1"/>
    <w:rsid w:val="00A25DA8"/>
    <w:rsid w:val="00A27F7B"/>
    <w:rsid w:val="00A329FD"/>
    <w:rsid w:val="00A32F37"/>
    <w:rsid w:val="00A3703C"/>
    <w:rsid w:val="00A4413D"/>
    <w:rsid w:val="00A4414A"/>
    <w:rsid w:val="00A465AA"/>
    <w:rsid w:val="00A5160D"/>
    <w:rsid w:val="00A552E4"/>
    <w:rsid w:val="00A6624E"/>
    <w:rsid w:val="00A66303"/>
    <w:rsid w:val="00A66AD4"/>
    <w:rsid w:val="00A7768A"/>
    <w:rsid w:val="00A81461"/>
    <w:rsid w:val="00A83907"/>
    <w:rsid w:val="00A848B4"/>
    <w:rsid w:val="00A914A1"/>
    <w:rsid w:val="00A92586"/>
    <w:rsid w:val="00A97637"/>
    <w:rsid w:val="00AA53A9"/>
    <w:rsid w:val="00AB7ADD"/>
    <w:rsid w:val="00AC1AEE"/>
    <w:rsid w:val="00AC3395"/>
    <w:rsid w:val="00AD3104"/>
    <w:rsid w:val="00AD4C96"/>
    <w:rsid w:val="00AE0250"/>
    <w:rsid w:val="00AE03E9"/>
    <w:rsid w:val="00AE13C3"/>
    <w:rsid w:val="00AE1925"/>
    <w:rsid w:val="00AE2C36"/>
    <w:rsid w:val="00AE784E"/>
    <w:rsid w:val="00AF16C9"/>
    <w:rsid w:val="00AF24EE"/>
    <w:rsid w:val="00B00E0A"/>
    <w:rsid w:val="00B071A8"/>
    <w:rsid w:val="00B10A67"/>
    <w:rsid w:val="00B12459"/>
    <w:rsid w:val="00B16E02"/>
    <w:rsid w:val="00B21BD4"/>
    <w:rsid w:val="00B2250A"/>
    <w:rsid w:val="00B2360E"/>
    <w:rsid w:val="00B2452B"/>
    <w:rsid w:val="00B33C89"/>
    <w:rsid w:val="00B35B28"/>
    <w:rsid w:val="00B43F44"/>
    <w:rsid w:val="00B441F0"/>
    <w:rsid w:val="00B443E8"/>
    <w:rsid w:val="00B44F84"/>
    <w:rsid w:val="00B452B7"/>
    <w:rsid w:val="00B47C62"/>
    <w:rsid w:val="00B50AFB"/>
    <w:rsid w:val="00B5156D"/>
    <w:rsid w:val="00B56729"/>
    <w:rsid w:val="00B60764"/>
    <w:rsid w:val="00B720B8"/>
    <w:rsid w:val="00B72814"/>
    <w:rsid w:val="00B76E8B"/>
    <w:rsid w:val="00B8525F"/>
    <w:rsid w:val="00B85DF7"/>
    <w:rsid w:val="00B87689"/>
    <w:rsid w:val="00B90A60"/>
    <w:rsid w:val="00B90AF9"/>
    <w:rsid w:val="00B93D27"/>
    <w:rsid w:val="00B950C1"/>
    <w:rsid w:val="00B96272"/>
    <w:rsid w:val="00BA429E"/>
    <w:rsid w:val="00BA47F6"/>
    <w:rsid w:val="00BB0007"/>
    <w:rsid w:val="00BB14A2"/>
    <w:rsid w:val="00BE0A05"/>
    <w:rsid w:val="00BE1098"/>
    <w:rsid w:val="00BE3B24"/>
    <w:rsid w:val="00BE3E56"/>
    <w:rsid w:val="00BE4091"/>
    <w:rsid w:val="00BF3308"/>
    <w:rsid w:val="00BF51EE"/>
    <w:rsid w:val="00C02B4B"/>
    <w:rsid w:val="00C24886"/>
    <w:rsid w:val="00C32DA4"/>
    <w:rsid w:val="00C40547"/>
    <w:rsid w:val="00C40E47"/>
    <w:rsid w:val="00C413C4"/>
    <w:rsid w:val="00C426FC"/>
    <w:rsid w:val="00C50782"/>
    <w:rsid w:val="00C539FA"/>
    <w:rsid w:val="00C55DA7"/>
    <w:rsid w:val="00C5691C"/>
    <w:rsid w:val="00C633AE"/>
    <w:rsid w:val="00C65950"/>
    <w:rsid w:val="00C70449"/>
    <w:rsid w:val="00C803E3"/>
    <w:rsid w:val="00C85C57"/>
    <w:rsid w:val="00C93076"/>
    <w:rsid w:val="00C93EF6"/>
    <w:rsid w:val="00C95E0E"/>
    <w:rsid w:val="00CA29D6"/>
    <w:rsid w:val="00CA489B"/>
    <w:rsid w:val="00CA668C"/>
    <w:rsid w:val="00CB19D9"/>
    <w:rsid w:val="00CC24D0"/>
    <w:rsid w:val="00CC560F"/>
    <w:rsid w:val="00CC5624"/>
    <w:rsid w:val="00CC662E"/>
    <w:rsid w:val="00CC7D5C"/>
    <w:rsid w:val="00CD4886"/>
    <w:rsid w:val="00CD509D"/>
    <w:rsid w:val="00CD6C4D"/>
    <w:rsid w:val="00CE0C73"/>
    <w:rsid w:val="00CF1B1F"/>
    <w:rsid w:val="00CF5F79"/>
    <w:rsid w:val="00CF77EE"/>
    <w:rsid w:val="00D006CF"/>
    <w:rsid w:val="00D00952"/>
    <w:rsid w:val="00D015CA"/>
    <w:rsid w:val="00D01EA3"/>
    <w:rsid w:val="00D03DA6"/>
    <w:rsid w:val="00D04ED3"/>
    <w:rsid w:val="00D12E16"/>
    <w:rsid w:val="00D23D6E"/>
    <w:rsid w:val="00D30531"/>
    <w:rsid w:val="00D3293B"/>
    <w:rsid w:val="00D35A8B"/>
    <w:rsid w:val="00D410CF"/>
    <w:rsid w:val="00D4234B"/>
    <w:rsid w:val="00D460CB"/>
    <w:rsid w:val="00D6009A"/>
    <w:rsid w:val="00D60684"/>
    <w:rsid w:val="00D617AF"/>
    <w:rsid w:val="00D62317"/>
    <w:rsid w:val="00D64EC0"/>
    <w:rsid w:val="00D65877"/>
    <w:rsid w:val="00D6688A"/>
    <w:rsid w:val="00D71364"/>
    <w:rsid w:val="00D7382C"/>
    <w:rsid w:val="00D7388B"/>
    <w:rsid w:val="00D74CD2"/>
    <w:rsid w:val="00D8080D"/>
    <w:rsid w:val="00D8086C"/>
    <w:rsid w:val="00D80E3D"/>
    <w:rsid w:val="00DA1BE7"/>
    <w:rsid w:val="00DB2ECE"/>
    <w:rsid w:val="00DB7287"/>
    <w:rsid w:val="00DC1195"/>
    <w:rsid w:val="00DC3D88"/>
    <w:rsid w:val="00DC4560"/>
    <w:rsid w:val="00DC7C84"/>
    <w:rsid w:val="00DD2865"/>
    <w:rsid w:val="00DD72A8"/>
    <w:rsid w:val="00DE1AD5"/>
    <w:rsid w:val="00DE458C"/>
    <w:rsid w:val="00DE4AE5"/>
    <w:rsid w:val="00DF21CF"/>
    <w:rsid w:val="00DF27AE"/>
    <w:rsid w:val="00DF7315"/>
    <w:rsid w:val="00E01606"/>
    <w:rsid w:val="00E05959"/>
    <w:rsid w:val="00E05C4C"/>
    <w:rsid w:val="00E10E7C"/>
    <w:rsid w:val="00E114E3"/>
    <w:rsid w:val="00E11E42"/>
    <w:rsid w:val="00E14458"/>
    <w:rsid w:val="00E15D8F"/>
    <w:rsid w:val="00E2358F"/>
    <w:rsid w:val="00E3157D"/>
    <w:rsid w:val="00E32D5C"/>
    <w:rsid w:val="00E32E1F"/>
    <w:rsid w:val="00E34254"/>
    <w:rsid w:val="00E42CC6"/>
    <w:rsid w:val="00E4414C"/>
    <w:rsid w:val="00E51FA1"/>
    <w:rsid w:val="00E52A97"/>
    <w:rsid w:val="00E56ED1"/>
    <w:rsid w:val="00E60E55"/>
    <w:rsid w:val="00E61244"/>
    <w:rsid w:val="00E63542"/>
    <w:rsid w:val="00E660A7"/>
    <w:rsid w:val="00E6760F"/>
    <w:rsid w:val="00E76810"/>
    <w:rsid w:val="00E861A3"/>
    <w:rsid w:val="00E90A46"/>
    <w:rsid w:val="00E91A09"/>
    <w:rsid w:val="00E91AAD"/>
    <w:rsid w:val="00E9708A"/>
    <w:rsid w:val="00EA0AF0"/>
    <w:rsid w:val="00EA3B44"/>
    <w:rsid w:val="00EA4E56"/>
    <w:rsid w:val="00EC6BF2"/>
    <w:rsid w:val="00ED1D68"/>
    <w:rsid w:val="00ED484B"/>
    <w:rsid w:val="00EF0933"/>
    <w:rsid w:val="00F03176"/>
    <w:rsid w:val="00F06ABB"/>
    <w:rsid w:val="00F06E67"/>
    <w:rsid w:val="00F1080E"/>
    <w:rsid w:val="00F1741B"/>
    <w:rsid w:val="00F22482"/>
    <w:rsid w:val="00F240AE"/>
    <w:rsid w:val="00F26503"/>
    <w:rsid w:val="00F26A77"/>
    <w:rsid w:val="00F31534"/>
    <w:rsid w:val="00F34B0C"/>
    <w:rsid w:val="00F44748"/>
    <w:rsid w:val="00F45E1E"/>
    <w:rsid w:val="00F5223A"/>
    <w:rsid w:val="00F53884"/>
    <w:rsid w:val="00F55AED"/>
    <w:rsid w:val="00F83FE3"/>
    <w:rsid w:val="00F87922"/>
    <w:rsid w:val="00F93D29"/>
    <w:rsid w:val="00F9657E"/>
    <w:rsid w:val="00FA1373"/>
    <w:rsid w:val="00FA1465"/>
    <w:rsid w:val="00FB2C3D"/>
    <w:rsid w:val="00FB4639"/>
    <w:rsid w:val="00FC4D51"/>
    <w:rsid w:val="00FC7B18"/>
    <w:rsid w:val="00FD0C75"/>
    <w:rsid w:val="00FE424A"/>
    <w:rsid w:val="00FE4835"/>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B90AF9"/>
    <w:pPr>
      <w:autoSpaceDE w:val="0"/>
      <w:autoSpaceDN w:val="0"/>
      <w:adjustRightInd w:val="0"/>
    </w:pPr>
    <w:rPr>
      <w:rFonts w:eastAsia="MS Mincho" w:cs="Calibri"/>
      <w:color w:val="000000"/>
      <w:sz w:val="24"/>
      <w:szCs w:val="24"/>
      <w:lang w:eastAsia="fr-FR"/>
    </w:rPr>
  </w:style>
  <w:style w:type="character" w:customStyle="1" w:styleId="A5">
    <w:name w:val="A5"/>
    <w:uiPriority w:val="99"/>
    <w:rsid w:val="00002A4F"/>
    <w:rPr>
      <w:rFonts w:cs="Calibri"/>
      <w:b/>
      <w:bCs/>
      <w:color w:val="000000"/>
      <w:sz w:val="18"/>
      <w:szCs w:val="18"/>
    </w:rPr>
  </w:style>
  <w:style w:type="paragraph" w:customStyle="1" w:styleId="Pa0">
    <w:name w:val="Pa0"/>
    <w:basedOn w:val="Default"/>
    <w:next w:val="Default"/>
    <w:uiPriority w:val="99"/>
    <w:rsid w:val="00002A4F"/>
    <w:pPr>
      <w:spacing w:line="241" w:lineRule="atLeast"/>
    </w:pPr>
    <w:rPr>
      <w:rFonts w:ascii="Myriad Pro" w:eastAsia="Calibri" w:hAnsi="Myriad Pro" w:cs="Times New Roman"/>
      <w:color w:val="auto"/>
      <w:lang w:val="ro-RO" w:eastAsia="en-US"/>
    </w:rPr>
  </w:style>
  <w:style w:type="character" w:customStyle="1" w:styleId="A0">
    <w:name w:val="A0"/>
    <w:uiPriority w:val="99"/>
    <w:rsid w:val="00002A4F"/>
    <w:rPr>
      <w:rFonts w:cs="Myriad Pro"/>
      <w:color w:val="000000"/>
      <w:sz w:val="88"/>
      <w:szCs w:val="88"/>
    </w:rPr>
  </w:style>
  <w:style w:type="character" w:customStyle="1" w:styleId="A2">
    <w:name w:val="A2"/>
    <w:uiPriority w:val="99"/>
    <w:rsid w:val="00002A4F"/>
    <w:rPr>
      <w:rFonts w:cs="Myriad Pro"/>
      <w:color w:val="000000"/>
      <w:sz w:val="44"/>
      <w:szCs w:val="44"/>
    </w:rPr>
  </w:style>
  <w:style w:type="character" w:customStyle="1" w:styleId="A12">
    <w:name w:val="A12"/>
    <w:uiPriority w:val="99"/>
    <w:rsid w:val="00691EE7"/>
    <w:rPr>
      <w:rFonts w:cs="Myriad Pro"/>
      <w:color w:val="00000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B90AF9"/>
    <w:pPr>
      <w:autoSpaceDE w:val="0"/>
      <w:autoSpaceDN w:val="0"/>
      <w:adjustRightInd w:val="0"/>
    </w:pPr>
    <w:rPr>
      <w:rFonts w:eastAsia="MS Mincho" w:cs="Calibri"/>
      <w:color w:val="000000"/>
      <w:sz w:val="24"/>
      <w:szCs w:val="24"/>
      <w:lang w:eastAsia="fr-FR"/>
    </w:rPr>
  </w:style>
  <w:style w:type="character" w:customStyle="1" w:styleId="A5">
    <w:name w:val="A5"/>
    <w:uiPriority w:val="99"/>
    <w:rsid w:val="00002A4F"/>
    <w:rPr>
      <w:rFonts w:cs="Calibri"/>
      <w:b/>
      <w:bCs/>
      <w:color w:val="000000"/>
      <w:sz w:val="18"/>
      <w:szCs w:val="18"/>
    </w:rPr>
  </w:style>
  <w:style w:type="paragraph" w:customStyle="1" w:styleId="Pa0">
    <w:name w:val="Pa0"/>
    <w:basedOn w:val="Default"/>
    <w:next w:val="Default"/>
    <w:uiPriority w:val="99"/>
    <w:rsid w:val="00002A4F"/>
    <w:pPr>
      <w:spacing w:line="241" w:lineRule="atLeast"/>
    </w:pPr>
    <w:rPr>
      <w:rFonts w:ascii="Myriad Pro" w:eastAsia="Calibri" w:hAnsi="Myriad Pro" w:cs="Times New Roman"/>
      <w:color w:val="auto"/>
      <w:lang w:val="ro-RO" w:eastAsia="en-US"/>
    </w:rPr>
  </w:style>
  <w:style w:type="character" w:customStyle="1" w:styleId="A0">
    <w:name w:val="A0"/>
    <w:uiPriority w:val="99"/>
    <w:rsid w:val="00002A4F"/>
    <w:rPr>
      <w:rFonts w:cs="Myriad Pro"/>
      <w:color w:val="000000"/>
      <w:sz w:val="88"/>
      <w:szCs w:val="88"/>
    </w:rPr>
  </w:style>
  <w:style w:type="character" w:customStyle="1" w:styleId="A2">
    <w:name w:val="A2"/>
    <w:uiPriority w:val="99"/>
    <w:rsid w:val="00002A4F"/>
    <w:rPr>
      <w:rFonts w:cs="Myriad Pro"/>
      <w:color w:val="000000"/>
      <w:sz w:val="44"/>
      <w:szCs w:val="44"/>
    </w:rPr>
  </w:style>
  <w:style w:type="character" w:customStyle="1" w:styleId="A12">
    <w:name w:val="A12"/>
    <w:uiPriority w:val="99"/>
    <w:rsid w:val="00691EE7"/>
    <w:rPr>
      <w:rFonts w:cs="Myriad Pro"/>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8975">
      <w:bodyDiv w:val="1"/>
      <w:marLeft w:val="0"/>
      <w:marRight w:val="0"/>
      <w:marTop w:val="0"/>
      <w:marBottom w:val="0"/>
      <w:divBdr>
        <w:top w:val="none" w:sz="0" w:space="0" w:color="auto"/>
        <w:left w:val="none" w:sz="0" w:space="0" w:color="auto"/>
        <w:bottom w:val="none" w:sz="0" w:space="0" w:color="auto"/>
        <w:right w:val="none" w:sz="0" w:space="0" w:color="auto"/>
      </w:divBdr>
      <w:divsChild>
        <w:div w:id="2119251580">
          <w:marLeft w:val="0"/>
          <w:marRight w:val="0"/>
          <w:marTop w:val="0"/>
          <w:marBottom w:val="0"/>
          <w:divBdr>
            <w:top w:val="none" w:sz="0" w:space="0" w:color="auto"/>
            <w:left w:val="none" w:sz="0" w:space="0" w:color="auto"/>
            <w:bottom w:val="none" w:sz="0" w:space="0" w:color="auto"/>
            <w:right w:val="none" w:sz="0" w:space="0" w:color="auto"/>
          </w:divBdr>
          <w:divsChild>
            <w:div w:id="1612282655">
              <w:marLeft w:val="0"/>
              <w:marRight w:val="60"/>
              <w:marTop w:val="0"/>
              <w:marBottom w:val="0"/>
              <w:divBdr>
                <w:top w:val="none" w:sz="0" w:space="0" w:color="auto"/>
                <w:left w:val="none" w:sz="0" w:space="0" w:color="auto"/>
                <w:bottom w:val="none" w:sz="0" w:space="0" w:color="auto"/>
                <w:right w:val="none" w:sz="0" w:space="0" w:color="auto"/>
              </w:divBdr>
              <w:divsChild>
                <w:div w:id="852761978">
                  <w:marLeft w:val="0"/>
                  <w:marRight w:val="0"/>
                  <w:marTop w:val="0"/>
                  <w:marBottom w:val="120"/>
                  <w:divBdr>
                    <w:top w:val="single" w:sz="6" w:space="0" w:color="A0A0A0"/>
                    <w:left w:val="single" w:sz="6" w:space="0" w:color="B9B9B9"/>
                    <w:bottom w:val="single" w:sz="6" w:space="0" w:color="B9B9B9"/>
                    <w:right w:val="single" w:sz="6" w:space="0" w:color="B9B9B9"/>
                  </w:divBdr>
                  <w:divsChild>
                    <w:div w:id="1244560037">
                      <w:marLeft w:val="0"/>
                      <w:marRight w:val="0"/>
                      <w:marTop w:val="0"/>
                      <w:marBottom w:val="0"/>
                      <w:divBdr>
                        <w:top w:val="none" w:sz="0" w:space="0" w:color="auto"/>
                        <w:left w:val="none" w:sz="0" w:space="0" w:color="auto"/>
                        <w:bottom w:val="none" w:sz="0" w:space="0" w:color="auto"/>
                        <w:right w:val="none" w:sz="0" w:space="0" w:color="auto"/>
                      </w:divBdr>
                    </w:div>
                    <w:div w:id="9597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7585">
          <w:marLeft w:val="0"/>
          <w:marRight w:val="0"/>
          <w:marTop w:val="0"/>
          <w:marBottom w:val="0"/>
          <w:divBdr>
            <w:top w:val="none" w:sz="0" w:space="0" w:color="auto"/>
            <w:left w:val="none" w:sz="0" w:space="0" w:color="auto"/>
            <w:bottom w:val="none" w:sz="0" w:space="0" w:color="auto"/>
            <w:right w:val="none" w:sz="0" w:space="0" w:color="auto"/>
          </w:divBdr>
          <w:divsChild>
            <w:div w:id="741565704">
              <w:marLeft w:val="60"/>
              <w:marRight w:val="0"/>
              <w:marTop w:val="0"/>
              <w:marBottom w:val="0"/>
              <w:divBdr>
                <w:top w:val="none" w:sz="0" w:space="0" w:color="auto"/>
                <w:left w:val="none" w:sz="0" w:space="0" w:color="auto"/>
                <w:bottom w:val="none" w:sz="0" w:space="0" w:color="auto"/>
                <w:right w:val="none" w:sz="0" w:space="0" w:color="auto"/>
              </w:divBdr>
              <w:divsChild>
                <w:div w:id="2009013518">
                  <w:marLeft w:val="0"/>
                  <w:marRight w:val="0"/>
                  <w:marTop w:val="0"/>
                  <w:marBottom w:val="0"/>
                  <w:divBdr>
                    <w:top w:val="none" w:sz="0" w:space="0" w:color="auto"/>
                    <w:left w:val="none" w:sz="0" w:space="0" w:color="auto"/>
                    <w:bottom w:val="none" w:sz="0" w:space="0" w:color="auto"/>
                    <w:right w:val="none" w:sz="0" w:space="0" w:color="auto"/>
                  </w:divBdr>
                  <w:divsChild>
                    <w:div w:id="16006021">
                      <w:marLeft w:val="0"/>
                      <w:marRight w:val="0"/>
                      <w:marTop w:val="0"/>
                      <w:marBottom w:val="120"/>
                      <w:divBdr>
                        <w:top w:val="single" w:sz="6" w:space="0" w:color="F5F5F5"/>
                        <w:left w:val="single" w:sz="6" w:space="0" w:color="F5F5F5"/>
                        <w:bottom w:val="single" w:sz="6" w:space="0" w:color="F5F5F5"/>
                        <w:right w:val="single" w:sz="6" w:space="0" w:color="F5F5F5"/>
                      </w:divBdr>
                      <w:divsChild>
                        <w:div w:id="1753238693">
                          <w:marLeft w:val="0"/>
                          <w:marRight w:val="0"/>
                          <w:marTop w:val="0"/>
                          <w:marBottom w:val="0"/>
                          <w:divBdr>
                            <w:top w:val="none" w:sz="0" w:space="0" w:color="auto"/>
                            <w:left w:val="none" w:sz="0" w:space="0" w:color="auto"/>
                            <w:bottom w:val="none" w:sz="0" w:space="0" w:color="auto"/>
                            <w:right w:val="none" w:sz="0" w:space="0" w:color="auto"/>
                          </w:divBdr>
                          <w:divsChild>
                            <w:div w:id="14324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22720">
      <w:bodyDiv w:val="1"/>
      <w:marLeft w:val="0"/>
      <w:marRight w:val="0"/>
      <w:marTop w:val="0"/>
      <w:marBottom w:val="0"/>
      <w:divBdr>
        <w:top w:val="none" w:sz="0" w:space="0" w:color="auto"/>
        <w:left w:val="none" w:sz="0" w:space="0" w:color="auto"/>
        <w:bottom w:val="none" w:sz="0" w:space="0" w:color="auto"/>
        <w:right w:val="none" w:sz="0" w:space="0" w:color="auto"/>
      </w:divBdr>
      <w:divsChild>
        <w:div w:id="2143881042">
          <w:marLeft w:val="0"/>
          <w:marRight w:val="0"/>
          <w:marTop w:val="0"/>
          <w:marBottom w:val="0"/>
          <w:divBdr>
            <w:top w:val="none" w:sz="0" w:space="0" w:color="auto"/>
            <w:left w:val="none" w:sz="0" w:space="0" w:color="auto"/>
            <w:bottom w:val="none" w:sz="0" w:space="0" w:color="auto"/>
            <w:right w:val="none" w:sz="0" w:space="0" w:color="auto"/>
          </w:divBdr>
          <w:divsChild>
            <w:div w:id="2118020414">
              <w:marLeft w:val="0"/>
              <w:marRight w:val="60"/>
              <w:marTop w:val="0"/>
              <w:marBottom w:val="0"/>
              <w:divBdr>
                <w:top w:val="none" w:sz="0" w:space="0" w:color="auto"/>
                <w:left w:val="none" w:sz="0" w:space="0" w:color="auto"/>
                <w:bottom w:val="none" w:sz="0" w:space="0" w:color="auto"/>
                <w:right w:val="none" w:sz="0" w:space="0" w:color="auto"/>
              </w:divBdr>
              <w:divsChild>
                <w:div w:id="1604802359">
                  <w:marLeft w:val="0"/>
                  <w:marRight w:val="0"/>
                  <w:marTop w:val="0"/>
                  <w:marBottom w:val="120"/>
                  <w:divBdr>
                    <w:top w:val="single" w:sz="6" w:space="0" w:color="A0A0A0"/>
                    <w:left w:val="single" w:sz="6" w:space="0" w:color="B9B9B9"/>
                    <w:bottom w:val="single" w:sz="6" w:space="0" w:color="B9B9B9"/>
                    <w:right w:val="single" w:sz="6" w:space="0" w:color="B9B9B9"/>
                  </w:divBdr>
                  <w:divsChild>
                    <w:div w:id="1539198645">
                      <w:marLeft w:val="0"/>
                      <w:marRight w:val="0"/>
                      <w:marTop w:val="0"/>
                      <w:marBottom w:val="0"/>
                      <w:divBdr>
                        <w:top w:val="none" w:sz="0" w:space="0" w:color="auto"/>
                        <w:left w:val="none" w:sz="0" w:space="0" w:color="auto"/>
                        <w:bottom w:val="none" w:sz="0" w:space="0" w:color="auto"/>
                        <w:right w:val="none" w:sz="0" w:space="0" w:color="auto"/>
                      </w:divBdr>
                    </w:div>
                    <w:div w:id="2519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168">
          <w:marLeft w:val="0"/>
          <w:marRight w:val="0"/>
          <w:marTop w:val="0"/>
          <w:marBottom w:val="0"/>
          <w:divBdr>
            <w:top w:val="none" w:sz="0" w:space="0" w:color="auto"/>
            <w:left w:val="none" w:sz="0" w:space="0" w:color="auto"/>
            <w:bottom w:val="none" w:sz="0" w:space="0" w:color="auto"/>
            <w:right w:val="none" w:sz="0" w:space="0" w:color="auto"/>
          </w:divBdr>
          <w:divsChild>
            <w:div w:id="932514462">
              <w:marLeft w:val="60"/>
              <w:marRight w:val="0"/>
              <w:marTop w:val="0"/>
              <w:marBottom w:val="0"/>
              <w:divBdr>
                <w:top w:val="none" w:sz="0" w:space="0" w:color="auto"/>
                <w:left w:val="none" w:sz="0" w:space="0" w:color="auto"/>
                <w:bottom w:val="none" w:sz="0" w:space="0" w:color="auto"/>
                <w:right w:val="none" w:sz="0" w:space="0" w:color="auto"/>
              </w:divBdr>
              <w:divsChild>
                <w:div w:id="1371302364">
                  <w:marLeft w:val="0"/>
                  <w:marRight w:val="0"/>
                  <w:marTop w:val="0"/>
                  <w:marBottom w:val="0"/>
                  <w:divBdr>
                    <w:top w:val="none" w:sz="0" w:space="0" w:color="auto"/>
                    <w:left w:val="none" w:sz="0" w:space="0" w:color="auto"/>
                    <w:bottom w:val="none" w:sz="0" w:space="0" w:color="auto"/>
                    <w:right w:val="none" w:sz="0" w:space="0" w:color="auto"/>
                  </w:divBdr>
                  <w:divsChild>
                    <w:div w:id="2087142597">
                      <w:marLeft w:val="0"/>
                      <w:marRight w:val="0"/>
                      <w:marTop w:val="0"/>
                      <w:marBottom w:val="120"/>
                      <w:divBdr>
                        <w:top w:val="single" w:sz="6" w:space="0" w:color="F5F5F5"/>
                        <w:left w:val="single" w:sz="6" w:space="0" w:color="F5F5F5"/>
                        <w:bottom w:val="single" w:sz="6" w:space="0" w:color="F5F5F5"/>
                        <w:right w:val="single" w:sz="6" w:space="0" w:color="F5F5F5"/>
                      </w:divBdr>
                      <w:divsChild>
                        <w:div w:id="180239260">
                          <w:marLeft w:val="0"/>
                          <w:marRight w:val="0"/>
                          <w:marTop w:val="0"/>
                          <w:marBottom w:val="0"/>
                          <w:divBdr>
                            <w:top w:val="none" w:sz="0" w:space="0" w:color="auto"/>
                            <w:left w:val="none" w:sz="0" w:space="0" w:color="auto"/>
                            <w:bottom w:val="none" w:sz="0" w:space="0" w:color="auto"/>
                            <w:right w:val="none" w:sz="0" w:space="0" w:color="auto"/>
                          </w:divBdr>
                          <w:divsChild>
                            <w:div w:id="14926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84015">
      <w:marLeft w:val="0"/>
      <w:marRight w:val="0"/>
      <w:marTop w:val="0"/>
      <w:marBottom w:val="0"/>
      <w:divBdr>
        <w:top w:val="none" w:sz="0" w:space="0" w:color="auto"/>
        <w:left w:val="none" w:sz="0" w:space="0" w:color="auto"/>
        <w:bottom w:val="none" w:sz="0" w:space="0" w:color="auto"/>
        <w:right w:val="none" w:sz="0" w:space="0" w:color="auto"/>
      </w:divBdr>
    </w:div>
    <w:div w:id="322860256">
      <w:bodyDiv w:val="1"/>
      <w:marLeft w:val="0"/>
      <w:marRight w:val="0"/>
      <w:marTop w:val="0"/>
      <w:marBottom w:val="0"/>
      <w:divBdr>
        <w:top w:val="none" w:sz="0" w:space="0" w:color="auto"/>
        <w:left w:val="none" w:sz="0" w:space="0" w:color="auto"/>
        <w:bottom w:val="none" w:sz="0" w:space="0" w:color="auto"/>
        <w:right w:val="none" w:sz="0" w:space="0" w:color="auto"/>
      </w:divBdr>
      <w:divsChild>
        <w:div w:id="981038725">
          <w:marLeft w:val="0"/>
          <w:marRight w:val="0"/>
          <w:marTop w:val="0"/>
          <w:marBottom w:val="0"/>
          <w:divBdr>
            <w:top w:val="none" w:sz="0" w:space="0" w:color="auto"/>
            <w:left w:val="none" w:sz="0" w:space="0" w:color="auto"/>
            <w:bottom w:val="none" w:sz="0" w:space="0" w:color="auto"/>
            <w:right w:val="none" w:sz="0" w:space="0" w:color="auto"/>
          </w:divBdr>
        </w:div>
      </w:divsChild>
    </w:div>
    <w:div w:id="529029235">
      <w:bodyDiv w:val="1"/>
      <w:marLeft w:val="0"/>
      <w:marRight w:val="0"/>
      <w:marTop w:val="0"/>
      <w:marBottom w:val="0"/>
      <w:divBdr>
        <w:top w:val="none" w:sz="0" w:space="0" w:color="auto"/>
        <w:left w:val="none" w:sz="0" w:space="0" w:color="auto"/>
        <w:bottom w:val="none" w:sz="0" w:space="0" w:color="auto"/>
        <w:right w:val="none" w:sz="0" w:space="0" w:color="auto"/>
      </w:divBdr>
    </w:div>
    <w:div w:id="678627832">
      <w:bodyDiv w:val="1"/>
      <w:marLeft w:val="0"/>
      <w:marRight w:val="0"/>
      <w:marTop w:val="0"/>
      <w:marBottom w:val="0"/>
      <w:divBdr>
        <w:top w:val="none" w:sz="0" w:space="0" w:color="auto"/>
        <w:left w:val="none" w:sz="0" w:space="0" w:color="auto"/>
        <w:bottom w:val="none" w:sz="0" w:space="0" w:color="auto"/>
        <w:right w:val="none" w:sz="0" w:space="0" w:color="auto"/>
      </w:divBdr>
      <w:divsChild>
        <w:div w:id="1916472193">
          <w:marLeft w:val="0"/>
          <w:marRight w:val="0"/>
          <w:marTop w:val="0"/>
          <w:marBottom w:val="0"/>
          <w:divBdr>
            <w:top w:val="none" w:sz="0" w:space="0" w:color="auto"/>
            <w:left w:val="none" w:sz="0" w:space="0" w:color="auto"/>
            <w:bottom w:val="none" w:sz="0" w:space="0" w:color="auto"/>
            <w:right w:val="none" w:sz="0" w:space="0" w:color="auto"/>
          </w:divBdr>
          <w:divsChild>
            <w:div w:id="40323060">
              <w:marLeft w:val="0"/>
              <w:marRight w:val="60"/>
              <w:marTop w:val="0"/>
              <w:marBottom w:val="0"/>
              <w:divBdr>
                <w:top w:val="none" w:sz="0" w:space="0" w:color="auto"/>
                <w:left w:val="none" w:sz="0" w:space="0" w:color="auto"/>
                <w:bottom w:val="none" w:sz="0" w:space="0" w:color="auto"/>
                <w:right w:val="none" w:sz="0" w:space="0" w:color="auto"/>
              </w:divBdr>
              <w:divsChild>
                <w:div w:id="1307932163">
                  <w:marLeft w:val="0"/>
                  <w:marRight w:val="0"/>
                  <w:marTop w:val="0"/>
                  <w:marBottom w:val="120"/>
                  <w:divBdr>
                    <w:top w:val="single" w:sz="6" w:space="0" w:color="A0A0A0"/>
                    <w:left w:val="single" w:sz="6" w:space="0" w:color="B9B9B9"/>
                    <w:bottom w:val="single" w:sz="6" w:space="0" w:color="B9B9B9"/>
                    <w:right w:val="single" w:sz="6" w:space="0" w:color="B9B9B9"/>
                  </w:divBdr>
                  <w:divsChild>
                    <w:div w:id="1431699517">
                      <w:marLeft w:val="0"/>
                      <w:marRight w:val="0"/>
                      <w:marTop w:val="0"/>
                      <w:marBottom w:val="0"/>
                      <w:divBdr>
                        <w:top w:val="none" w:sz="0" w:space="0" w:color="auto"/>
                        <w:left w:val="none" w:sz="0" w:space="0" w:color="auto"/>
                        <w:bottom w:val="none" w:sz="0" w:space="0" w:color="auto"/>
                        <w:right w:val="none" w:sz="0" w:space="0" w:color="auto"/>
                      </w:divBdr>
                    </w:div>
                    <w:div w:id="464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819">
          <w:marLeft w:val="0"/>
          <w:marRight w:val="0"/>
          <w:marTop w:val="0"/>
          <w:marBottom w:val="0"/>
          <w:divBdr>
            <w:top w:val="none" w:sz="0" w:space="0" w:color="auto"/>
            <w:left w:val="none" w:sz="0" w:space="0" w:color="auto"/>
            <w:bottom w:val="none" w:sz="0" w:space="0" w:color="auto"/>
            <w:right w:val="none" w:sz="0" w:space="0" w:color="auto"/>
          </w:divBdr>
          <w:divsChild>
            <w:div w:id="870264003">
              <w:marLeft w:val="60"/>
              <w:marRight w:val="0"/>
              <w:marTop w:val="0"/>
              <w:marBottom w:val="0"/>
              <w:divBdr>
                <w:top w:val="none" w:sz="0" w:space="0" w:color="auto"/>
                <w:left w:val="none" w:sz="0" w:space="0" w:color="auto"/>
                <w:bottom w:val="none" w:sz="0" w:space="0" w:color="auto"/>
                <w:right w:val="none" w:sz="0" w:space="0" w:color="auto"/>
              </w:divBdr>
              <w:divsChild>
                <w:div w:id="8680394">
                  <w:marLeft w:val="0"/>
                  <w:marRight w:val="0"/>
                  <w:marTop w:val="0"/>
                  <w:marBottom w:val="0"/>
                  <w:divBdr>
                    <w:top w:val="none" w:sz="0" w:space="0" w:color="auto"/>
                    <w:left w:val="none" w:sz="0" w:space="0" w:color="auto"/>
                    <w:bottom w:val="none" w:sz="0" w:space="0" w:color="auto"/>
                    <w:right w:val="none" w:sz="0" w:space="0" w:color="auto"/>
                  </w:divBdr>
                  <w:divsChild>
                    <w:div w:id="1412195548">
                      <w:marLeft w:val="0"/>
                      <w:marRight w:val="0"/>
                      <w:marTop w:val="0"/>
                      <w:marBottom w:val="120"/>
                      <w:divBdr>
                        <w:top w:val="single" w:sz="6" w:space="0" w:color="F5F5F5"/>
                        <w:left w:val="single" w:sz="6" w:space="0" w:color="F5F5F5"/>
                        <w:bottom w:val="single" w:sz="6" w:space="0" w:color="F5F5F5"/>
                        <w:right w:val="single" w:sz="6" w:space="0" w:color="F5F5F5"/>
                      </w:divBdr>
                      <w:divsChild>
                        <w:div w:id="1028876104">
                          <w:marLeft w:val="0"/>
                          <w:marRight w:val="0"/>
                          <w:marTop w:val="0"/>
                          <w:marBottom w:val="0"/>
                          <w:divBdr>
                            <w:top w:val="none" w:sz="0" w:space="0" w:color="auto"/>
                            <w:left w:val="none" w:sz="0" w:space="0" w:color="auto"/>
                            <w:bottom w:val="none" w:sz="0" w:space="0" w:color="auto"/>
                            <w:right w:val="none" w:sz="0" w:space="0" w:color="auto"/>
                          </w:divBdr>
                          <w:divsChild>
                            <w:div w:id="14096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92564">
      <w:bodyDiv w:val="1"/>
      <w:marLeft w:val="0"/>
      <w:marRight w:val="0"/>
      <w:marTop w:val="0"/>
      <w:marBottom w:val="0"/>
      <w:divBdr>
        <w:top w:val="none" w:sz="0" w:space="0" w:color="auto"/>
        <w:left w:val="none" w:sz="0" w:space="0" w:color="auto"/>
        <w:bottom w:val="none" w:sz="0" w:space="0" w:color="auto"/>
        <w:right w:val="none" w:sz="0" w:space="0" w:color="auto"/>
      </w:divBdr>
      <w:divsChild>
        <w:div w:id="340547987">
          <w:marLeft w:val="0"/>
          <w:marRight w:val="0"/>
          <w:marTop w:val="0"/>
          <w:marBottom w:val="0"/>
          <w:divBdr>
            <w:top w:val="none" w:sz="0" w:space="0" w:color="auto"/>
            <w:left w:val="none" w:sz="0" w:space="0" w:color="auto"/>
            <w:bottom w:val="none" w:sz="0" w:space="0" w:color="auto"/>
            <w:right w:val="none" w:sz="0" w:space="0" w:color="auto"/>
          </w:divBdr>
          <w:divsChild>
            <w:div w:id="613635665">
              <w:marLeft w:val="0"/>
              <w:marRight w:val="60"/>
              <w:marTop w:val="0"/>
              <w:marBottom w:val="0"/>
              <w:divBdr>
                <w:top w:val="none" w:sz="0" w:space="0" w:color="auto"/>
                <w:left w:val="none" w:sz="0" w:space="0" w:color="auto"/>
                <w:bottom w:val="none" w:sz="0" w:space="0" w:color="auto"/>
                <w:right w:val="none" w:sz="0" w:space="0" w:color="auto"/>
              </w:divBdr>
              <w:divsChild>
                <w:div w:id="107895116">
                  <w:marLeft w:val="0"/>
                  <w:marRight w:val="0"/>
                  <w:marTop w:val="0"/>
                  <w:marBottom w:val="120"/>
                  <w:divBdr>
                    <w:top w:val="single" w:sz="6" w:space="0" w:color="A0A0A0"/>
                    <w:left w:val="single" w:sz="6" w:space="0" w:color="B9B9B9"/>
                    <w:bottom w:val="single" w:sz="6" w:space="0" w:color="B9B9B9"/>
                    <w:right w:val="single" w:sz="6" w:space="0" w:color="B9B9B9"/>
                  </w:divBdr>
                  <w:divsChild>
                    <w:div w:id="2107997471">
                      <w:marLeft w:val="0"/>
                      <w:marRight w:val="0"/>
                      <w:marTop w:val="0"/>
                      <w:marBottom w:val="0"/>
                      <w:divBdr>
                        <w:top w:val="none" w:sz="0" w:space="0" w:color="auto"/>
                        <w:left w:val="none" w:sz="0" w:space="0" w:color="auto"/>
                        <w:bottom w:val="none" w:sz="0" w:space="0" w:color="auto"/>
                        <w:right w:val="none" w:sz="0" w:space="0" w:color="auto"/>
                      </w:divBdr>
                    </w:div>
                    <w:div w:id="735934339">
                      <w:marLeft w:val="0"/>
                      <w:marRight w:val="0"/>
                      <w:marTop w:val="0"/>
                      <w:marBottom w:val="0"/>
                      <w:divBdr>
                        <w:top w:val="none" w:sz="0" w:space="0" w:color="auto"/>
                        <w:left w:val="none" w:sz="0" w:space="0" w:color="auto"/>
                        <w:bottom w:val="none" w:sz="0" w:space="0" w:color="auto"/>
                        <w:right w:val="none" w:sz="0" w:space="0" w:color="auto"/>
                      </w:divBdr>
                    </w:div>
                  </w:divsChild>
                </w:div>
                <w:div w:id="16975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5922">
          <w:marLeft w:val="0"/>
          <w:marRight w:val="0"/>
          <w:marTop w:val="0"/>
          <w:marBottom w:val="0"/>
          <w:divBdr>
            <w:top w:val="none" w:sz="0" w:space="0" w:color="auto"/>
            <w:left w:val="none" w:sz="0" w:space="0" w:color="auto"/>
            <w:bottom w:val="none" w:sz="0" w:space="0" w:color="auto"/>
            <w:right w:val="none" w:sz="0" w:space="0" w:color="auto"/>
          </w:divBdr>
          <w:divsChild>
            <w:div w:id="1967616940">
              <w:marLeft w:val="60"/>
              <w:marRight w:val="0"/>
              <w:marTop w:val="0"/>
              <w:marBottom w:val="0"/>
              <w:divBdr>
                <w:top w:val="none" w:sz="0" w:space="0" w:color="auto"/>
                <w:left w:val="none" w:sz="0" w:space="0" w:color="auto"/>
                <w:bottom w:val="none" w:sz="0" w:space="0" w:color="auto"/>
                <w:right w:val="none" w:sz="0" w:space="0" w:color="auto"/>
              </w:divBdr>
              <w:divsChild>
                <w:div w:id="582568341">
                  <w:marLeft w:val="0"/>
                  <w:marRight w:val="0"/>
                  <w:marTop w:val="0"/>
                  <w:marBottom w:val="0"/>
                  <w:divBdr>
                    <w:top w:val="none" w:sz="0" w:space="0" w:color="auto"/>
                    <w:left w:val="none" w:sz="0" w:space="0" w:color="auto"/>
                    <w:bottom w:val="none" w:sz="0" w:space="0" w:color="auto"/>
                    <w:right w:val="none" w:sz="0" w:space="0" w:color="auto"/>
                  </w:divBdr>
                  <w:divsChild>
                    <w:div w:id="480195095">
                      <w:marLeft w:val="0"/>
                      <w:marRight w:val="0"/>
                      <w:marTop w:val="0"/>
                      <w:marBottom w:val="120"/>
                      <w:divBdr>
                        <w:top w:val="single" w:sz="6" w:space="0" w:color="F5F5F5"/>
                        <w:left w:val="single" w:sz="6" w:space="0" w:color="F5F5F5"/>
                        <w:bottom w:val="single" w:sz="6" w:space="0" w:color="F5F5F5"/>
                        <w:right w:val="single" w:sz="6" w:space="0" w:color="F5F5F5"/>
                      </w:divBdr>
                      <w:divsChild>
                        <w:div w:id="1252280272">
                          <w:marLeft w:val="0"/>
                          <w:marRight w:val="0"/>
                          <w:marTop w:val="0"/>
                          <w:marBottom w:val="0"/>
                          <w:divBdr>
                            <w:top w:val="none" w:sz="0" w:space="0" w:color="auto"/>
                            <w:left w:val="none" w:sz="0" w:space="0" w:color="auto"/>
                            <w:bottom w:val="none" w:sz="0" w:space="0" w:color="auto"/>
                            <w:right w:val="none" w:sz="0" w:space="0" w:color="auto"/>
                          </w:divBdr>
                          <w:divsChild>
                            <w:div w:id="206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345263">
      <w:bodyDiv w:val="1"/>
      <w:marLeft w:val="0"/>
      <w:marRight w:val="0"/>
      <w:marTop w:val="0"/>
      <w:marBottom w:val="0"/>
      <w:divBdr>
        <w:top w:val="none" w:sz="0" w:space="0" w:color="auto"/>
        <w:left w:val="none" w:sz="0" w:space="0" w:color="auto"/>
        <w:bottom w:val="none" w:sz="0" w:space="0" w:color="auto"/>
        <w:right w:val="none" w:sz="0" w:space="0" w:color="auto"/>
      </w:divBdr>
    </w:div>
    <w:div w:id="823425082">
      <w:bodyDiv w:val="1"/>
      <w:marLeft w:val="0"/>
      <w:marRight w:val="0"/>
      <w:marTop w:val="0"/>
      <w:marBottom w:val="0"/>
      <w:divBdr>
        <w:top w:val="none" w:sz="0" w:space="0" w:color="auto"/>
        <w:left w:val="none" w:sz="0" w:space="0" w:color="auto"/>
        <w:bottom w:val="none" w:sz="0" w:space="0" w:color="auto"/>
        <w:right w:val="none" w:sz="0" w:space="0" w:color="auto"/>
      </w:divBdr>
    </w:div>
    <w:div w:id="905651352">
      <w:bodyDiv w:val="1"/>
      <w:marLeft w:val="0"/>
      <w:marRight w:val="0"/>
      <w:marTop w:val="0"/>
      <w:marBottom w:val="0"/>
      <w:divBdr>
        <w:top w:val="none" w:sz="0" w:space="0" w:color="auto"/>
        <w:left w:val="none" w:sz="0" w:space="0" w:color="auto"/>
        <w:bottom w:val="none" w:sz="0" w:space="0" w:color="auto"/>
        <w:right w:val="none" w:sz="0" w:space="0" w:color="auto"/>
      </w:divBdr>
      <w:divsChild>
        <w:div w:id="1643076509">
          <w:marLeft w:val="0"/>
          <w:marRight w:val="0"/>
          <w:marTop w:val="0"/>
          <w:marBottom w:val="0"/>
          <w:divBdr>
            <w:top w:val="none" w:sz="0" w:space="0" w:color="auto"/>
            <w:left w:val="none" w:sz="0" w:space="0" w:color="auto"/>
            <w:bottom w:val="none" w:sz="0" w:space="0" w:color="auto"/>
            <w:right w:val="none" w:sz="0" w:space="0" w:color="auto"/>
          </w:divBdr>
          <w:divsChild>
            <w:div w:id="1976522070">
              <w:marLeft w:val="0"/>
              <w:marRight w:val="60"/>
              <w:marTop w:val="0"/>
              <w:marBottom w:val="0"/>
              <w:divBdr>
                <w:top w:val="none" w:sz="0" w:space="0" w:color="auto"/>
                <w:left w:val="none" w:sz="0" w:space="0" w:color="auto"/>
                <w:bottom w:val="none" w:sz="0" w:space="0" w:color="auto"/>
                <w:right w:val="none" w:sz="0" w:space="0" w:color="auto"/>
              </w:divBdr>
              <w:divsChild>
                <w:div w:id="628513348">
                  <w:marLeft w:val="0"/>
                  <w:marRight w:val="0"/>
                  <w:marTop w:val="0"/>
                  <w:marBottom w:val="120"/>
                  <w:divBdr>
                    <w:top w:val="single" w:sz="6" w:space="0" w:color="C0C0C0"/>
                    <w:left w:val="single" w:sz="6" w:space="0" w:color="D9D9D9"/>
                    <w:bottom w:val="single" w:sz="6" w:space="0" w:color="D9D9D9"/>
                    <w:right w:val="single" w:sz="6" w:space="0" w:color="D9D9D9"/>
                  </w:divBdr>
                  <w:divsChild>
                    <w:div w:id="1017344362">
                      <w:marLeft w:val="0"/>
                      <w:marRight w:val="0"/>
                      <w:marTop w:val="0"/>
                      <w:marBottom w:val="0"/>
                      <w:divBdr>
                        <w:top w:val="none" w:sz="0" w:space="0" w:color="auto"/>
                        <w:left w:val="none" w:sz="0" w:space="0" w:color="auto"/>
                        <w:bottom w:val="none" w:sz="0" w:space="0" w:color="auto"/>
                        <w:right w:val="none" w:sz="0" w:space="0" w:color="auto"/>
                      </w:divBdr>
                    </w:div>
                    <w:div w:id="338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0942">
          <w:marLeft w:val="0"/>
          <w:marRight w:val="0"/>
          <w:marTop w:val="0"/>
          <w:marBottom w:val="0"/>
          <w:divBdr>
            <w:top w:val="none" w:sz="0" w:space="0" w:color="auto"/>
            <w:left w:val="none" w:sz="0" w:space="0" w:color="auto"/>
            <w:bottom w:val="none" w:sz="0" w:space="0" w:color="auto"/>
            <w:right w:val="none" w:sz="0" w:space="0" w:color="auto"/>
          </w:divBdr>
          <w:divsChild>
            <w:div w:id="118037943">
              <w:marLeft w:val="60"/>
              <w:marRight w:val="0"/>
              <w:marTop w:val="0"/>
              <w:marBottom w:val="0"/>
              <w:divBdr>
                <w:top w:val="none" w:sz="0" w:space="0" w:color="auto"/>
                <w:left w:val="none" w:sz="0" w:space="0" w:color="auto"/>
                <w:bottom w:val="none" w:sz="0" w:space="0" w:color="auto"/>
                <w:right w:val="none" w:sz="0" w:space="0" w:color="auto"/>
              </w:divBdr>
              <w:divsChild>
                <w:div w:id="1076778510">
                  <w:marLeft w:val="0"/>
                  <w:marRight w:val="0"/>
                  <w:marTop w:val="0"/>
                  <w:marBottom w:val="0"/>
                  <w:divBdr>
                    <w:top w:val="none" w:sz="0" w:space="0" w:color="auto"/>
                    <w:left w:val="none" w:sz="0" w:space="0" w:color="auto"/>
                    <w:bottom w:val="none" w:sz="0" w:space="0" w:color="auto"/>
                    <w:right w:val="none" w:sz="0" w:space="0" w:color="auto"/>
                  </w:divBdr>
                  <w:divsChild>
                    <w:div w:id="746807361">
                      <w:marLeft w:val="0"/>
                      <w:marRight w:val="0"/>
                      <w:marTop w:val="0"/>
                      <w:marBottom w:val="120"/>
                      <w:divBdr>
                        <w:top w:val="single" w:sz="6" w:space="0" w:color="F5F5F5"/>
                        <w:left w:val="single" w:sz="6" w:space="0" w:color="F5F5F5"/>
                        <w:bottom w:val="single" w:sz="6" w:space="0" w:color="F5F5F5"/>
                        <w:right w:val="single" w:sz="6" w:space="0" w:color="F5F5F5"/>
                      </w:divBdr>
                      <w:divsChild>
                        <w:div w:id="725959469">
                          <w:marLeft w:val="0"/>
                          <w:marRight w:val="0"/>
                          <w:marTop w:val="0"/>
                          <w:marBottom w:val="0"/>
                          <w:divBdr>
                            <w:top w:val="none" w:sz="0" w:space="0" w:color="auto"/>
                            <w:left w:val="none" w:sz="0" w:space="0" w:color="auto"/>
                            <w:bottom w:val="none" w:sz="0" w:space="0" w:color="auto"/>
                            <w:right w:val="none" w:sz="0" w:space="0" w:color="auto"/>
                          </w:divBdr>
                          <w:divsChild>
                            <w:div w:id="10212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170219244">
      <w:bodyDiv w:val="1"/>
      <w:marLeft w:val="0"/>
      <w:marRight w:val="0"/>
      <w:marTop w:val="0"/>
      <w:marBottom w:val="0"/>
      <w:divBdr>
        <w:top w:val="none" w:sz="0" w:space="0" w:color="auto"/>
        <w:left w:val="none" w:sz="0" w:space="0" w:color="auto"/>
        <w:bottom w:val="none" w:sz="0" w:space="0" w:color="auto"/>
        <w:right w:val="none" w:sz="0" w:space="0" w:color="auto"/>
      </w:divBdr>
      <w:divsChild>
        <w:div w:id="858275676">
          <w:marLeft w:val="0"/>
          <w:marRight w:val="0"/>
          <w:marTop w:val="0"/>
          <w:marBottom w:val="0"/>
          <w:divBdr>
            <w:top w:val="none" w:sz="0" w:space="0" w:color="auto"/>
            <w:left w:val="none" w:sz="0" w:space="0" w:color="auto"/>
            <w:bottom w:val="none" w:sz="0" w:space="0" w:color="auto"/>
            <w:right w:val="none" w:sz="0" w:space="0" w:color="auto"/>
          </w:divBdr>
          <w:divsChild>
            <w:div w:id="629822201">
              <w:marLeft w:val="0"/>
              <w:marRight w:val="60"/>
              <w:marTop w:val="0"/>
              <w:marBottom w:val="0"/>
              <w:divBdr>
                <w:top w:val="none" w:sz="0" w:space="0" w:color="auto"/>
                <w:left w:val="none" w:sz="0" w:space="0" w:color="auto"/>
                <w:bottom w:val="none" w:sz="0" w:space="0" w:color="auto"/>
                <w:right w:val="none" w:sz="0" w:space="0" w:color="auto"/>
              </w:divBdr>
              <w:divsChild>
                <w:div w:id="1067613607">
                  <w:marLeft w:val="0"/>
                  <w:marRight w:val="0"/>
                  <w:marTop w:val="0"/>
                  <w:marBottom w:val="120"/>
                  <w:divBdr>
                    <w:top w:val="single" w:sz="6" w:space="0" w:color="A0A0A0"/>
                    <w:left w:val="single" w:sz="6" w:space="0" w:color="B9B9B9"/>
                    <w:bottom w:val="single" w:sz="6" w:space="0" w:color="B9B9B9"/>
                    <w:right w:val="single" w:sz="6" w:space="0" w:color="B9B9B9"/>
                  </w:divBdr>
                  <w:divsChild>
                    <w:div w:id="1588660326">
                      <w:marLeft w:val="0"/>
                      <w:marRight w:val="0"/>
                      <w:marTop w:val="0"/>
                      <w:marBottom w:val="0"/>
                      <w:divBdr>
                        <w:top w:val="none" w:sz="0" w:space="0" w:color="auto"/>
                        <w:left w:val="none" w:sz="0" w:space="0" w:color="auto"/>
                        <w:bottom w:val="none" w:sz="0" w:space="0" w:color="auto"/>
                        <w:right w:val="none" w:sz="0" w:space="0" w:color="auto"/>
                      </w:divBdr>
                    </w:div>
                    <w:div w:id="1033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4722">
          <w:marLeft w:val="0"/>
          <w:marRight w:val="0"/>
          <w:marTop w:val="0"/>
          <w:marBottom w:val="0"/>
          <w:divBdr>
            <w:top w:val="none" w:sz="0" w:space="0" w:color="auto"/>
            <w:left w:val="none" w:sz="0" w:space="0" w:color="auto"/>
            <w:bottom w:val="none" w:sz="0" w:space="0" w:color="auto"/>
            <w:right w:val="none" w:sz="0" w:space="0" w:color="auto"/>
          </w:divBdr>
          <w:divsChild>
            <w:div w:id="559752952">
              <w:marLeft w:val="60"/>
              <w:marRight w:val="0"/>
              <w:marTop w:val="0"/>
              <w:marBottom w:val="0"/>
              <w:divBdr>
                <w:top w:val="none" w:sz="0" w:space="0" w:color="auto"/>
                <w:left w:val="none" w:sz="0" w:space="0" w:color="auto"/>
                <w:bottom w:val="none" w:sz="0" w:space="0" w:color="auto"/>
                <w:right w:val="none" w:sz="0" w:space="0" w:color="auto"/>
              </w:divBdr>
              <w:divsChild>
                <w:div w:id="1486774873">
                  <w:marLeft w:val="0"/>
                  <w:marRight w:val="0"/>
                  <w:marTop w:val="0"/>
                  <w:marBottom w:val="0"/>
                  <w:divBdr>
                    <w:top w:val="none" w:sz="0" w:space="0" w:color="auto"/>
                    <w:left w:val="none" w:sz="0" w:space="0" w:color="auto"/>
                    <w:bottom w:val="none" w:sz="0" w:space="0" w:color="auto"/>
                    <w:right w:val="none" w:sz="0" w:space="0" w:color="auto"/>
                  </w:divBdr>
                  <w:divsChild>
                    <w:div w:id="1947274767">
                      <w:marLeft w:val="0"/>
                      <w:marRight w:val="0"/>
                      <w:marTop w:val="0"/>
                      <w:marBottom w:val="120"/>
                      <w:divBdr>
                        <w:top w:val="single" w:sz="6" w:space="0" w:color="F5F5F5"/>
                        <w:left w:val="single" w:sz="6" w:space="0" w:color="F5F5F5"/>
                        <w:bottom w:val="single" w:sz="6" w:space="0" w:color="F5F5F5"/>
                        <w:right w:val="single" w:sz="6" w:space="0" w:color="F5F5F5"/>
                      </w:divBdr>
                      <w:divsChild>
                        <w:div w:id="226304169">
                          <w:marLeft w:val="0"/>
                          <w:marRight w:val="0"/>
                          <w:marTop w:val="0"/>
                          <w:marBottom w:val="0"/>
                          <w:divBdr>
                            <w:top w:val="none" w:sz="0" w:space="0" w:color="auto"/>
                            <w:left w:val="none" w:sz="0" w:space="0" w:color="auto"/>
                            <w:bottom w:val="none" w:sz="0" w:space="0" w:color="auto"/>
                            <w:right w:val="none" w:sz="0" w:space="0" w:color="auto"/>
                          </w:divBdr>
                          <w:divsChild>
                            <w:div w:id="12971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428303529">
      <w:bodyDiv w:val="1"/>
      <w:marLeft w:val="0"/>
      <w:marRight w:val="0"/>
      <w:marTop w:val="0"/>
      <w:marBottom w:val="0"/>
      <w:divBdr>
        <w:top w:val="none" w:sz="0" w:space="0" w:color="auto"/>
        <w:left w:val="none" w:sz="0" w:space="0" w:color="auto"/>
        <w:bottom w:val="none" w:sz="0" w:space="0" w:color="auto"/>
        <w:right w:val="none" w:sz="0" w:space="0" w:color="auto"/>
      </w:divBdr>
    </w:div>
    <w:div w:id="1439370565">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 w:id="1534420343">
      <w:bodyDiv w:val="1"/>
      <w:marLeft w:val="0"/>
      <w:marRight w:val="0"/>
      <w:marTop w:val="0"/>
      <w:marBottom w:val="0"/>
      <w:divBdr>
        <w:top w:val="none" w:sz="0" w:space="0" w:color="auto"/>
        <w:left w:val="none" w:sz="0" w:space="0" w:color="auto"/>
        <w:bottom w:val="none" w:sz="0" w:space="0" w:color="auto"/>
        <w:right w:val="none" w:sz="0" w:space="0" w:color="auto"/>
      </w:divBdr>
      <w:divsChild>
        <w:div w:id="1930504271">
          <w:marLeft w:val="0"/>
          <w:marRight w:val="0"/>
          <w:marTop w:val="0"/>
          <w:marBottom w:val="0"/>
          <w:divBdr>
            <w:top w:val="none" w:sz="0" w:space="0" w:color="auto"/>
            <w:left w:val="none" w:sz="0" w:space="0" w:color="auto"/>
            <w:bottom w:val="none" w:sz="0" w:space="0" w:color="auto"/>
            <w:right w:val="none" w:sz="0" w:space="0" w:color="auto"/>
          </w:divBdr>
          <w:divsChild>
            <w:div w:id="1250846273">
              <w:marLeft w:val="0"/>
              <w:marRight w:val="60"/>
              <w:marTop w:val="0"/>
              <w:marBottom w:val="0"/>
              <w:divBdr>
                <w:top w:val="none" w:sz="0" w:space="0" w:color="auto"/>
                <w:left w:val="none" w:sz="0" w:space="0" w:color="auto"/>
                <w:bottom w:val="none" w:sz="0" w:space="0" w:color="auto"/>
                <w:right w:val="none" w:sz="0" w:space="0" w:color="auto"/>
              </w:divBdr>
              <w:divsChild>
                <w:div w:id="941035263">
                  <w:marLeft w:val="0"/>
                  <w:marRight w:val="0"/>
                  <w:marTop w:val="0"/>
                  <w:marBottom w:val="120"/>
                  <w:divBdr>
                    <w:top w:val="single" w:sz="6" w:space="0" w:color="C0C0C0"/>
                    <w:left w:val="single" w:sz="6" w:space="0" w:color="D9D9D9"/>
                    <w:bottom w:val="single" w:sz="6" w:space="0" w:color="D9D9D9"/>
                    <w:right w:val="single" w:sz="6" w:space="0" w:color="D9D9D9"/>
                  </w:divBdr>
                  <w:divsChild>
                    <w:div w:id="1309552131">
                      <w:marLeft w:val="0"/>
                      <w:marRight w:val="0"/>
                      <w:marTop w:val="0"/>
                      <w:marBottom w:val="0"/>
                      <w:divBdr>
                        <w:top w:val="none" w:sz="0" w:space="0" w:color="auto"/>
                        <w:left w:val="none" w:sz="0" w:space="0" w:color="auto"/>
                        <w:bottom w:val="none" w:sz="0" w:space="0" w:color="auto"/>
                        <w:right w:val="none" w:sz="0" w:space="0" w:color="auto"/>
                      </w:divBdr>
                    </w:div>
                    <w:div w:id="1106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228">
          <w:marLeft w:val="0"/>
          <w:marRight w:val="0"/>
          <w:marTop w:val="0"/>
          <w:marBottom w:val="0"/>
          <w:divBdr>
            <w:top w:val="none" w:sz="0" w:space="0" w:color="auto"/>
            <w:left w:val="none" w:sz="0" w:space="0" w:color="auto"/>
            <w:bottom w:val="none" w:sz="0" w:space="0" w:color="auto"/>
            <w:right w:val="none" w:sz="0" w:space="0" w:color="auto"/>
          </w:divBdr>
          <w:divsChild>
            <w:div w:id="962887004">
              <w:marLeft w:val="60"/>
              <w:marRight w:val="0"/>
              <w:marTop w:val="0"/>
              <w:marBottom w:val="0"/>
              <w:divBdr>
                <w:top w:val="none" w:sz="0" w:space="0" w:color="auto"/>
                <w:left w:val="none" w:sz="0" w:space="0" w:color="auto"/>
                <w:bottom w:val="none" w:sz="0" w:space="0" w:color="auto"/>
                <w:right w:val="none" w:sz="0" w:space="0" w:color="auto"/>
              </w:divBdr>
              <w:divsChild>
                <w:div w:id="1886334524">
                  <w:marLeft w:val="0"/>
                  <w:marRight w:val="0"/>
                  <w:marTop w:val="0"/>
                  <w:marBottom w:val="0"/>
                  <w:divBdr>
                    <w:top w:val="none" w:sz="0" w:space="0" w:color="auto"/>
                    <w:left w:val="none" w:sz="0" w:space="0" w:color="auto"/>
                    <w:bottom w:val="none" w:sz="0" w:space="0" w:color="auto"/>
                    <w:right w:val="none" w:sz="0" w:space="0" w:color="auto"/>
                  </w:divBdr>
                  <w:divsChild>
                    <w:div w:id="2007437573">
                      <w:marLeft w:val="0"/>
                      <w:marRight w:val="0"/>
                      <w:marTop w:val="0"/>
                      <w:marBottom w:val="120"/>
                      <w:divBdr>
                        <w:top w:val="single" w:sz="6" w:space="0" w:color="F5F5F5"/>
                        <w:left w:val="single" w:sz="6" w:space="0" w:color="F5F5F5"/>
                        <w:bottom w:val="single" w:sz="6" w:space="0" w:color="F5F5F5"/>
                        <w:right w:val="single" w:sz="6" w:space="0" w:color="F5F5F5"/>
                      </w:divBdr>
                      <w:divsChild>
                        <w:div w:id="950935767">
                          <w:marLeft w:val="0"/>
                          <w:marRight w:val="0"/>
                          <w:marTop w:val="0"/>
                          <w:marBottom w:val="0"/>
                          <w:divBdr>
                            <w:top w:val="none" w:sz="0" w:space="0" w:color="auto"/>
                            <w:left w:val="none" w:sz="0" w:space="0" w:color="auto"/>
                            <w:bottom w:val="none" w:sz="0" w:space="0" w:color="auto"/>
                            <w:right w:val="none" w:sz="0" w:space="0" w:color="auto"/>
                          </w:divBdr>
                          <w:divsChild>
                            <w:div w:id="16980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a.ro" TargetMode="External"/><Relationship Id="rId18" Type="http://schemas.openxmlformats.org/officeDocument/2006/relationships/hyperlink" Target="https://www.psc.r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nero.ro" TargetMode="External"/><Relationship Id="rId7" Type="http://schemas.microsoft.com/office/2007/relationships/stylesWithEffects" Target="stylesWithEffects.xml"/><Relationship Id="rId12" Type="http://schemas.openxmlformats.org/officeDocument/2006/relationships/hyperlink" Target="http://www.strabag.ro" TargetMode="External"/><Relationship Id="rId17" Type="http://schemas.openxmlformats.org/officeDocument/2006/relationships/hyperlink" Target="http://www.araco.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rbasu.ro" TargetMode="External"/><Relationship Id="rId20" Type="http://schemas.openxmlformats.org/officeDocument/2006/relationships/hyperlink" Target="http://www.enero.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orr.r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rpee.org.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gart.r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3.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370C89A-8ADF-4518-A22A-28D35D1D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3260</Words>
  <Characters>17932</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marché de la santé en (Nom de pays)</vt:lpstr>
      <vt:lpstr>Le marché de la santé en (Nom de pays)</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2018-09-03T07:51:00Z</cp:lastPrinted>
  <dcterms:created xsi:type="dcterms:W3CDTF">2018-09-03T09:51:00Z</dcterms:created>
  <dcterms:modified xsi:type="dcterms:W3CDTF">2018-09-03T09:51:00Z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