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3E" w:rsidRDefault="005E3D3E" w:rsidP="005E3D3E">
      <w:pPr>
        <w:ind w:firstLine="284"/>
        <w:jc w:val="both"/>
        <w:rPr>
          <w:rFonts w:cs="Arial"/>
          <w:b/>
          <w:sz w:val="24"/>
          <w:szCs w:val="24"/>
          <w:lang w:val="en-US"/>
        </w:rPr>
      </w:pPr>
    </w:p>
    <w:p w:rsidR="00B73409" w:rsidRPr="00B73409" w:rsidRDefault="000036B1" w:rsidP="00B73409">
      <w:pPr>
        <w:ind w:firstLine="284"/>
        <w:jc w:val="center"/>
        <w:rPr>
          <w:rFonts w:cs="Arial"/>
          <w:b/>
          <w:sz w:val="40"/>
          <w:szCs w:val="40"/>
        </w:rPr>
      </w:pPr>
      <w:r>
        <w:rPr>
          <w:rFonts w:cs="Arial"/>
          <w:b/>
          <w:sz w:val="40"/>
          <w:szCs w:val="40"/>
        </w:rPr>
        <w:t>AWEX ATHÈNES</w:t>
      </w:r>
      <w:r w:rsidR="00B73409" w:rsidRPr="00B73409">
        <w:rPr>
          <w:rFonts w:cs="Arial"/>
          <w:b/>
          <w:sz w:val="40"/>
          <w:szCs w:val="40"/>
        </w:rPr>
        <w:t xml:space="preserve"> – SECTEUR DE LA VIANDE</w:t>
      </w:r>
      <w:r>
        <w:rPr>
          <w:rFonts w:cs="Arial"/>
          <w:b/>
          <w:sz w:val="40"/>
          <w:szCs w:val="40"/>
        </w:rPr>
        <w:t xml:space="preserve"> EN GRÈCE</w:t>
      </w:r>
    </w:p>
    <w:p w:rsidR="00B73409" w:rsidRPr="00B73409" w:rsidRDefault="00B73409" w:rsidP="005E3D3E">
      <w:pPr>
        <w:ind w:firstLine="284"/>
        <w:jc w:val="both"/>
        <w:rPr>
          <w:rFonts w:cs="Arial"/>
          <w:b/>
          <w:sz w:val="24"/>
          <w:szCs w:val="24"/>
        </w:rPr>
      </w:pPr>
    </w:p>
    <w:p w:rsidR="00B73409" w:rsidRPr="000069D8" w:rsidRDefault="00B73409" w:rsidP="00B73409">
      <w:pPr>
        <w:pStyle w:val="Citationintense"/>
        <w:rPr>
          <w:b/>
          <w:sz w:val="28"/>
        </w:rPr>
      </w:pPr>
      <w:r w:rsidRPr="000069D8">
        <w:rPr>
          <w:b/>
          <w:sz w:val="28"/>
        </w:rPr>
        <w:t>Consommation de viande en Grèce</w:t>
      </w:r>
    </w:p>
    <w:p w:rsidR="00B73409" w:rsidRPr="001E007D" w:rsidRDefault="00B73409" w:rsidP="00B73409">
      <w:pPr>
        <w:pStyle w:val="Titre2"/>
        <w:rPr>
          <w:rFonts w:asciiTheme="minorHAnsi" w:hAnsiTheme="minorHAnsi"/>
          <w:sz w:val="22"/>
          <w:szCs w:val="22"/>
        </w:rPr>
      </w:pPr>
      <w:r w:rsidRPr="001E007D">
        <w:rPr>
          <w:rFonts w:asciiTheme="minorHAnsi" w:hAnsiTheme="minorHAnsi"/>
          <w:sz w:val="22"/>
          <w:szCs w:val="22"/>
        </w:rPr>
        <w:t>Les grandes lignes.</w:t>
      </w:r>
    </w:p>
    <w:p w:rsidR="00B73409" w:rsidRPr="001E007D" w:rsidRDefault="00B73409" w:rsidP="00B73409">
      <w:pPr>
        <w:jc w:val="both"/>
        <w:rPr>
          <w:color w:val="000000"/>
          <w:shd w:val="clear" w:color="auto" w:fill="FFFFFF"/>
        </w:rPr>
      </w:pPr>
      <w:r w:rsidRPr="001E007D">
        <w:rPr>
          <w:color w:val="000000"/>
          <w:shd w:val="clear" w:color="auto" w:fill="FFFFFF"/>
        </w:rPr>
        <w:t xml:space="preserve">Le consommateur grec est un grand mangeur de viande; </w:t>
      </w:r>
      <w:r w:rsidR="00545F81">
        <w:rPr>
          <w:color w:val="000000"/>
          <w:shd w:val="clear" w:color="auto" w:fill="FFFFFF"/>
        </w:rPr>
        <w:t xml:space="preserve"> </w:t>
      </w:r>
      <w:r w:rsidRPr="001E007D">
        <w:rPr>
          <w:color w:val="000000"/>
          <w:shd w:val="clear" w:color="auto" w:fill="FFFFFF"/>
        </w:rPr>
        <w:t xml:space="preserve">sa viande préférée est sans aucun doute la viande bovine. Reconnue pour ses bienfaits nutritionnels, la viande bovine est en général consommée à l’extérieur de la maison dans les plats traditionnels (souvlaki, moussaka, </w:t>
      </w:r>
      <w:proofErr w:type="spellStart"/>
      <w:r w:rsidRPr="001E007D">
        <w:rPr>
          <w:color w:val="000000"/>
          <w:shd w:val="clear" w:color="auto" w:fill="FFFFFF"/>
        </w:rPr>
        <w:t>gyros</w:t>
      </w:r>
      <w:proofErr w:type="spellEnd"/>
      <w:r w:rsidRPr="001E007D">
        <w:rPr>
          <w:color w:val="000000"/>
          <w:shd w:val="clear" w:color="auto" w:fill="FFFFFF"/>
        </w:rPr>
        <w:t>, …). La consommation grecque de viande bovine était de 182.000 tonnes en 2009.  En 2010, la Grèce bat tous les records avec une consommation de viande de 80kg/an/personne.   Depuis, le consommateur grec recherche de plus en plus la qualité du produit et la transparence concernant son origine. En 2014, la production de viande a atteint 426,694 tonnes, incluant les viandes suivantes : porc, mouton, chèvre, bétail, volaille. Cependant, la consommation de viande connaît traditionnellement une légère baisse lors du carême orthodoxe et les premiers mois de l’année mais reprend juste après la période de Pâques.</w:t>
      </w:r>
    </w:p>
    <w:p w:rsidR="00B73409" w:rsidRPr="001E007D" w:rsidRDefault="00B73409" w:rsidP="00B73409">
      <w:pPr>
        <w:pStyle w:val="Titre2"/>
        <w:rPr>
          <w:rFonts w:asciiTheme="minorHAnsi" w:hAnsiTheme="minorHAnsi"/>
          <w:sz w:val="22"/>
          <w:szCs w:val="22"/>
          <w:shd w:val="clear" w:color="auto" w:fill="FFFFFF"/>
        </w:rPr>
      </w:pPr>
      <w:r w:rsidRPr="001E007D">
        <w:rPr>
          <w:rFonts w:asciiTheme="minorHAnsi" w:hAnsiTheme="minorHAnsi"/>
          <w:sz w:val="22"/>
          <w:szCs w:val="22"/>
          <w:shd w:val="clear" w:color="auto" w:fill="FFFFFF"/>
        </w:rPr>
        <w:t>Exigences d’importation d’aliments.</w:t>
      </w:r>
    </w:p>
    <w:p w:rsidR="00B73409" w:rsidRPr="001E007D" w:rsidRDefault="00B73409" w:rsidP="00B73409">
      <w:pPr>
        <w:jc w:val="both"/>
      </w:pPr>
      <w:r w:rsidRPr="001E007D">
        <w:t>La législation et la réglementation alimentaires de la Grèce sont c</w:t>
      </w:r>
      <w:r>
        <w:t>onformes aux règles de l'Union E</w:t>
      </w:r>
      <w:r w:rsidRPr="001E007D">
        <w:t xml:space="preserve">uropéenne. En Grèce, la sécurité alimentaire est la responsabilité principale du ministère grec du Développement rural et de l'Alimentation, en coopération avec le Laboratoire général de la chimie de l'État et le ministère de la Protection du citoyen. À l'occasion, le ministère grec du Développement et du Commerce peut jouer un rôle. L'Autorité grecque de sécurité des aliments (EFET) est chargée de faire </w:t>
      </w:r>
      <w:bookmarkStart w:id="0" w:name="_GoBack"/>
      <w:bookmarkEnd w:id="0"/>
      <w:r w:rsidRPr="001E007D">
        <w:t>respecter la réglementation et de prélever des échantillons auprès des points de vente pour vérifier le respect de la législation alimentaire, à la fois pour assurer la sécurité des aliments et pour la protection de la santé des consommateurs, conformément à la directive européenne 89/397.</w:t>
      </w:r>
    </w:p>
    <w:p w:rsidR="00B73409" w:rsidRPr="001E007D" w:rsidRDefault="00B73409" w:rsidP="00B73409">
      <w:pPr>
        <w:pStyle w:val="Titre2"/>
        <w:rPr>
          <w:rFonts w:asciiTheme="minorHAnsi" w:hAnsiTheme="minorHAnsi"/>
          <w:sz w:val="22"/>
          <w:szCs w:val="22"/>
        </w:rPr>
      </w:pPr>
      <w:r w:rsidRPr="001E007D">
        <w:rPr>
          <w:rFonts w:asciiTheme="minorHAnsi" w:hAnsiTheme="minorHAnsi"/>
          <w:sz w:val="22"/>
          <w:szCs w:val="22"/>
        </w:rPr>
        <w:t>Statistiques</w:t>
      </w:r>
    </w:p>
    <w:p w:rsidR="00B73409" w:rsidRPr="001E007D" w:rsidRDefault="00B73409" w:rsidP="00B73409">
      <w:r w:rsidRPr="001E007D">
        <w:rPr>
          <w:noProof/>
          <w:lang w:val="fr-FR" w:eastAsia="fr-FR"/>
        </w:rPr>
        <w:drawing>
          <wp:inline distT="0" distB="0" distL="0" distR="0" wp14:anchorId="1DD9D0DD" wp14:editId="482E698E">
            <wp:extent cx="3640347" cy="2191109"/>
            <wp:effectExtent l="0" t="0" r="17780" b="0"/>
            <wp:docPr id="3" name="Graphiqu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C362D0-8D16-42AB-9A70-8FF754844B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3409" w:rsidRDefault="00B73409" w:rsidP="00B73409">
      <w:pPr>
        <w:rPr>
          <w:i/>
        </w:rPr>
      </w:pPr>
    </w:p>
    <w:p w:rsidR="00B73409" w:rsidRDefault="00B73409" w:rsidP="00B73409">
      <w:pPr>
        <w:rPr>
          <w:i/>
        </w:rPr>
      </w:pPr>
    </w:p>
    <w:p w:rsidR="00B73409" w:rsidRPr="001E007D" w:rsidRDefault="00B73409" w:rsidP="00B73409">
      <w:pPr>
        <w:rPr>
          <w:i/>
        </w:rPr>
      </w:pPr>
      <w:r w:rsidRPr="001E007D">
        <w:rPr>
          <w:i/>
        </w:rPr>
        <w:t xml:space="preserve">Les chiffres de 2017 par sous-secteurs : </w:t>
      </w:r>
    </w:p>
    <w:p w:rsidR="00B73409" w:rsidRPr="001E007D" w:rsidRDefault="00B73409" w:rsidP="00B73409">
      <w:r w:rsidRPr="001E007D">
        <w:t xml:space="preserve">Importations totales tous secteurs confondus : </w:t>
      </w:r>
      <w:r w:rsidRPr="001E007D">
        <w:rPr>
          <w:highlight w:val="magenta"/>
        </w:rPr>
        <w:t>52,8 milliards de $</w:t>
      </w:r>
      <w:r w:rsidRPr="001E007D">
        <w:t xml:space="preserve"> la Grèce est donc le 48</w:t>
      </w:r>
      <w:r w:rsidRPr="001E007D">
        <w:rPr>
          <w:vertAlign w:val="superscript"/>
        </w:rPr>
        <w:t>ème</w:t>
      </w:r>
      <w:r w:rsidRPr="001E007D">
        <w:t xml:space="preserve"> plus grand importateur au monde. </w:t>
      </w:r>
    </w:p>
    <w:p w:rsidR="00B73409" w:rsidRPr="001E007D" w:rsidRDefault="00B73409" w:rsidP="00B73409">
      <w:r w:rsidRPr="001E007D">
        <w:t xml:space="preserve">Viande de </w:t>
      </w:r>
      <w:r w:rsidRPr="001E007D">
        <w:rPr>
          <w:color w:val="548DD4" w:themeColor="text2" w:themeTint="99"/>
        </w:rPr>
        <w:t>porc</w:t>
      </w:r>
      <w:r w:rsidRPr="001E007D">
        <w:t> : 531M de $ (19%)</w:t>
      </w:r>
    </w:p>
    <w:p w:rsidR="00B73409" w:rsidRPr="001E007D" w:rsidRDefault="00B73409" w:rsidP="00B73409">
      <w:r w:rsidRPr="001E007D">
        <w:t xml:space="preserve"> Viande </w:t>
      </w:r>
      <w:r w:rsidRPr="001E007D">
        <w:rPr>
          <w:color w:val="943634" w:themeColor="accent2" w:themeShade="BF"/>
        </w:rPr>
        <w:t>bovine</w:t>
      </w:r>
      <w:r w:rsidRPr="001E007D">
        <w:t xml:space="preserve"> : 456M de $ (16%) </w:t>
      </w:r>
    </w:p>
    <w:p w:rsidR="00B73409" w:rsidRPr="001E007D" w:rsidRDefault="00B73409" w:rsidP="00B73409">
      <w:r w:rsidRPr="001E007D">
        <w:rPr>
          <w:color w:val="76923C" w:themeColor="accent3" w:themeShade="BF"/>
        </w:rPr>
        <w:t>Volaille</w:t>
      </w:r>
      <w:r w:rsidRPr="001E007D">
        <w:t xml:space="preserve"> : 153M de $ (5.5%) </w:t>
      </w:r>
    </w:p>
    <w:p w:rsidR="00B73409" w:rsidRPr="001E007D" w:rsidRDefault="00B73409" w:rsidP="00B73409">
      <w:r w:rsidRPr="001E007D">
        <w:rPr>
          <w:color w:val="5F497A" w:themeColor="accent4" w:themeShade="BF"/>
        </w:rPr>
        <w:t>Viande ovines et caprines</w:t>
      </w:r>
      <w:r w:rsidRPr="001E007D">
        <w:t> : 29,1 M de $ (1.1%)</w:t>
      </w:r>
    </w:p>
    <w:p w:rsidR="00B73409" w:rsidRPr="001E007D" w:rsidRDefault="00B73409" w:rsidP="00B73409">
      <w:r w:rsidRPr="001E007D">
        <w:rPr>
          <w:color w:val="95B3D7" w:themeColor="accent1" w:themeTint="99"/>
        </w:rPr>
        <w:t>Conserve de viande </w:t>
      </w:r>
      <w:r w:rsidRPr="001E007D">
        <w:t>: 14,4 M de $ (0.52%)</w:t>
      </w:r>
    </w:p>
    <w:p w:rsidR="00B73409" w:rsidRPr="001E007D" w:rsidRDefault="00B73409" w:rsidP="00B73409">
      <w:r w:rsidRPr="001E007D">
        <w:rPr>
          <w:color w:val="E36C0A" w:themeColor="accent6" w:themeShade="BF"/>
        </w:rPr>
        <w:t>Viande bovine congelée</w:t>
      </w:r>
      <w:r w:rsidRPr="001E007D">
        <w:t> : 54,4 M de $ (0.1%)</w:t>
      </w:r>
    </w:p>
    <w:p w:rsidR="00B73409" w:rsidRPr="001E007D" w:rsidRDefault="00B73409" w:rsidP="00B73409">
      <w:r w:rsidRPr="001E007D">
        <w:rPr>
          <w:color w:val="17365D" w:themeColor="text2" w:themeShade="BF"/>
        </w:rPr>
        <w:t>Autres produits provenant des animaux (œufs, fromages, lait, animaux vivants) </w:t>
      </w:r>
      <w:r w:rsidRPr="001E007D">
        <w:t>: 57,35%</w:t>
      </w:r>
    </w:p>
    <w:p w:rsidR="00B73409" w:rsidRPr="001E007D" w:rsidRDefault="00B73409" w:rsidP="00B73409">
      <w:r w:rsidRPr="001E007D">
        <w:t xml:space="preserve">Total du secteur de la viande : </w:t>
      </w:r>
      <w:r w:rsidRPr="001E007D">
        <w:rPr>
          <w:highlight w:val="magenta"/>
        </w:rPr>
        <w:t>1 237 900 000 $</w:t>
      </w:r>
      <w:r w:rsidRPr="001E007D">
        <w:t xml:space="preserve"> -&gt; 2.34% des importations totales </w:t>
      </w:r>
    </w:p>
    <w:p w:rsidR="00B73409" w:rsidRPr="001E007D" w:rsidRDefault="00B73409" w:rsidP="00B73409">
      <w:pPr>
        <w:rPr>
          <w:highlight w:val="yellow"/>
        </w:rPr>
      </w:pPr>
      <w:r w:rsidRPr="001E007D">
        <w:rPr>
          <w:highlight w:val="yellow"/>
        </w:rPr>
        <w:t xml:space="preserve">% total du secteur des produits </w:t>
      </w:r>
      <w:proofErr w:type="gramStart"/>
      <w:r w:rsidRPr="001E007D">
        <w:rPr>
          <w:highlight w:val="yellow"/>
        </w:rPr>
        <w:t>d’origines animale</w:t>
      </w:r>
      <w:proofErr w:type="gramEnd"/>
      <w:r w:rsidRPr="001E007D">
        <w:rPr>
          <w:highlight w:val="yellow"/>
        </w:rPr>
        <w:t xml:space="preserve"> : 42,22%</w:t>
      </w:r>
    </w:p>
    <w:p w:rsidR="00B73409" w:rsidRPr="001E007D" w:rsidRDefault="00B73409" w:rsidP="00B73409">
      <w:r w:rsidRPr="001E007D">
        <w:t>Total des importations de l’Europe : 32,8B de $</w:t>
      </w:r>
    </w:p>
    <w:p w:rsidR="00B73409" w:rsidRPr="001E007D" w:rsidRDefault="00B73409" w:rsidP="00B73409"/>
    <w:p w:rsidR="00B73409" w:rsidRPr="001E007D" w:rsidRDefault="00B73409" w:rsidP="00B73409">
      <w:r>
        <w:t>Selon le site ITC, la Belgique est le 8</w:t>
      </w:r>
      <w:r w:rsidRPr="00CF5CBF">
        <w:rPr>
          <w:vertAlign w:val="superscript"/>
        </w:rPr>
        <w:t>ème</w:t>
      </w:r>
      <w:r>
        <w:t xml:space="preserve"> fournisseur de la Grèce en viande bovine fraiche ou surgelée, derrière la France, les Pays-Bas, l’Italie, l’Espagne, la Pologne, l’Allemagne et le Danemark.</w:t>
      </w:r>
    </w:p>
    <w:p w:rsidR="001F0EB9" w:rsidRDefault="001F0EB9" w:rsidP="00276060">
      <w:pPr>
        <w:spacing w:line="240" w:lineRule="auto"/>
        <w:jc w:val="both"/>
        <w:rPr>
          <w:rStyle w:val="Lienhypertexte"/>
          <w:rFonts w:asciiTheme="minorHAnsi" w:hAnsiTheme="minorHAnsi" w:cstheme="minorHAnsi"/>
          <w:color w:val="auto"/>
          <w:u w:val="none"/>
        </w:rPr>
      </w:pPr>
    </w:p>
    <w:p w:rsidR="001F0EB9" w:rsidRDefault="001F0EB9" w:rsidP="00276060">
      <w:pPr>
        <w:spacing w:line="240" w:lineRule="auto"/>
        <w:jc w:val="both"/>
        <w:rPr>
          <w:rStyle w:val="Lienhypertexte"/>
          <w:rFonts w:asciiTheme="minorHAnsi" w:hAnsiTheme="minorHAnsi" w:cstheme="minorHAnsi"/>
          <w:color w:val="auto"/>
          <w:u w:val="none"/>
        </w:rPr>
      </w:pPr>
    </w:p>
    <w:p w:rsidR="001F0EB9" w:rsidRDefault="001F0EB9" w:rsidP="00276060">
      <w:pPr>
        <w:spacing w:line="240" w:lineRule="auto"/>
        <w:jc w:val="both"/>
        <w:rPr>
          <w:rStyle w:val="Lienhypertexte"/>
          <w:rFonts w:asciiTheme="minorHAnsi" w:hAnsiTheme="minorHAnsi" w:cstheme="minorHAnsi"/>
          <w:color w:val="auto"/>
          <w:u w:val="none"/>
        </w:rPr>
      </w:pPr>
      <w:r>
        <w:rPr>
          <w:rStyle w:val="Lienhypertexte"/>
          <w:rFonts w:asciiTheme="minorHAnsi" w:hAnsiTheme="minorHAnsi" w:cstheme="minorHAnsi"/>
          <w:color w:val="auto"/>
          <w:u w:val="none"/>
        </w:rPr>
        <w:t xml:space="preserve">Fiche rédigée par : </w:t>
      </w:r>
      <w:r w:rsidR="00B73409">
        <w:rPr>
          <w:rStyle w:val="Lienhypertexte"/>
          <w:rFonts w:asciiTheme="minorHAnsi" w:hAnsiTheme="minorHAnsi" w:cstheme="minorHAnsi"/>
          <w:color w:val="auto"/>
          <w:u w:val="none"/>
        </w:rPr>
        <w:t>Awex Athènes, février 2019</w:t>
      </w:r>
    </w:p>
    <w:sectPr w:rsidR="001F0EB9" w:rsidSect="00BA47F6">
      <w:headerReference w:type="default" r:id="rId13"/>
      <w:footerReference w:type="default" r:id="rId14"/>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B5" w:rsidRDefault="001872B5" w:rsidP="0065506D">
      <w:pPr>
        <w:spacing w:after="0" w:line="240" w:lineRule="auto"/>
      </w:pPr>
      <w:r>
        <w:separator/>
      </w:r>
    </w:p>
  </w:endnote>
  <w:endnote w:type="continuationSeparator" w:id="0">
    <w:p w:rsidR="001872B5" w:rsidRDefault="001872B5"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B5" w:rsidRDefault="001872B5" w:rsidP="0065506D">
      <w:pPr>
        <w:spacing w:after="0" w:line="240" w:lineRule="auto"/>
      </w:pPr>
      <w:r>
        <w:separator/>
      </w:r>
    </w:p>
  </w:footnote>
  <w:footnote w:type="continuationSeparator" w:id="0">
    <w:p w:rsidR="001872B5" w:rsidRDefault="001872B5"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Default="000E53FD"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6704" behindDoc="0" locked="0" layoutInCell="1" allowOverlap="1" wp14:anchorId="5D81F970" wp14:editId="5E4B3845">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fr-FR" w:eastAsia="fr-FR"/>
                            </w:rPr>
                            <w:drawing>
                              <wp:inline distT="0" distB="0" distL="0" distR="0" wp14:anchorId="7C71224A" wp14:editId="1B3D6E17">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eastAsia="fr-BE"/>
                      </w:rPr>
                      <w:drawing>
                        <wp:inline distT="0" distB="0" distL="0" distR="0" wp14:anchorId="7C71224A" wp14:editId="1B3D6E17">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06BA8F34" wp14:editId="3E147317">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203A"/>
    <w:rsid w:val="000036B1"/>
    <w:rsid w:val="00004813"/>
    <w:rsid w:val="000116BD"/>
    <w:rsid w:val="000209CD"/>
    <w:rsid w:val="00043659"/>
    <w:rsid w:val="00045ABA"/>
    <w:rsid w:val="00047BC9"/>
    <w:rsid w:val="00051B44"/>
    <w:rsid w:val="00054B7F"/>
    <w:rsid w:val="000565C9"/>
    <w:rsid w:val="000A40FB"/>
    <w:rsid w:val="000A6594"/>
    <w:rsid w:val="000A6B8D"/>
    <w:rsid w:val="000A78DD"/>
    <w:rsid w:val="000B6B14"/>
    <w:rsid w:val="000C1505"/>
    <w:rsid w:val="000C6F0D"/>
    <w:rsid w:val="000E29B9"/>
    <w:rsid w:val="000E53FD"/>
    <w:rsid w:val="000F0506"/>
    <w:rsid w:val="000F0C22"/>
    <w:rsid w:val="000F1AC4"/>
    <w:rsid w:val="000F767D"/>
    <w:rsid w:val="00104AEF"/>
    <w:rsid w:val="00133FE3"/>
    <w:rsid w:val="0014198C"/>
    <w:rsid w:val="001441BA"/>
    <w:rsid w:val="00156C7E"/>
    <w:rsid w:val="00177A6C"/>
    <w:rsid w:val="00182FB0"/>
    <w:rsid w:val="00185786"/>
    <w:rsid w:val="001872B5"/>
    <w:rsid w:val="00191356"/>
    <w:rsid w:val="001A4745"/>
    <w:rsid w:val="001B2359"/>
    <w:rsid w:val="001B524E"/>
    <w:rsid w:val="001C26FB"/>
    <w:rsid w:val="001C6A6F"/>
    <w:rsid w:val="001D22EF"/>
    <w:rsid w:val="001D6487"/>
    <w:rsid w:val="001F0EB9"/>
    <w:rsid w:val="001F2C7D"/>
    <w:rsid w:val="001F3659"/>
    <w:rsid w:val="0020156C"/>
    <w:rsid w:val="002171C0"/>
    <w:rsid w:val="00237206"/>
    <w:rsid w:val="0025474F"/>
    <w:rsid w:val="00261EB0"/>
    <w:rsid w:val="002720C8"/>
    <w:rsid w:val="00276060"/>
    <w:rsid w:val="00286F26"/>
    <w:rsid w:val="002A3D7E"/>
    <w:rsid w:val="002D6F74"/>
    <w:rsid w:val="002F50EB"/>
    <w:rsid w:val="00305661"/>
    <w:rsid w:val="003417FC"/>
    <w:rsid w:val="00341933"/>
    <w:rsid w:val="00343D1D"/>
    <w:rsid w:val="00344CB6"/>
    <w:rsid w:val="00351675"/>
    <w:rsid w:val="003577A8"/>
    <w:rsid w:val="003665CD"/>
    <w:rsid w:val="00367013"/>
    <w:rsid w:val="00372B50"/>
    <w:rsid w:val="003840CA"/>
    <w:rsid w:val="00384B30"/>
    <w:rsid w:val="00385FE9"/>
    <w:rsid w:val="00392910"/>
    <w:rsid w:val="003A30B1"/>
    <w:rsid w:val="003B4438"/>
    <w:rsid w:val="003C4F9E"/>
    <w:rsid w:val="003C72C4"/>
    <w:rsid w:val="003E2C68"/>
    <w:rsid w:val="003E74CE"/>
    <w:rsid w:val="003F5E57"/>
    <w:rsid w:val="003F750D"/>
    <w:rsid w:val="004010F9"/>
    <w:rsid w:val="00403CF9"/>
    <w:rsid w:val="004047D3"/>
    <w:rsid w:val="00405A05"/>
    <w:rsid w:val="00406A72"/>
    <w:rsid w:val="00420962"/>
    <w:rsid w:val="00421386"/>
    <w:rsid w:val="00421414"/>
    <w:rsid w:val="00432940"/>
    <w:rsid w:val="00432E02"/>
    <w:rsid w:val="00440412"/>
    <w:rsid w:val="00442655"/>
    <w:rsid w:val="0046209F"/>
    <w:rsid w:val="00467626"/>
    <w:rsid w:val="00492BF8"/>
    <w:rsid w:val="004A593D"/>
    <w:rsid w:val="004D6856"/>
    <w:rsid w:val="004E097E"/>
    <w:rsid w:val="004E1C50"/>
    <w:rsid w:val="004E5BB0"/>
    <w:rsid w:val="004E72D0"/>
    <w:rsid w:val="004F740F"/>
    <w:rsid w:val="00506864"/>
    <w:rsid w:val="00514E65"/>
    <w:rsid w:val="00526BF3"/>
    <w:rsid w:val="005355DC"/>
    <w:rsid w:val="00536136"/>
    <w:rsid w:val="00542E04"/>
    <w:rsid w:val="00543A2F"/>
    <w:rsid w:val="00545F81"/>
    <w:rsid w:val="005663AD"/>
    <w:rsid w:val="0056641F"/>
    <w:rsid w:val="00570E8E"/>
    <w:rsid w:val="00586574"/>
    <w:rsid w:val="00593107"/>
    <w:rsid w:val="005A7401"/>
    <w:rsid w:val="005B1DCB"/>
    <w:rsid w:val="005B7662"/>
    <w:rsid w:val="005C5621"/>
    <w:rsid w:val="005D0872"/>
    <w:rsid w:val="005D589A"/>
    <w:rsid w:val="005E1F1D"/>
    <w:rsid w:val="005E27CA"/>
    <w:rsid w:val="005E3D3E"/>
    <w:rsid w:val="005F461F"/>
    <w:rsid w:val="00600725"/>
    <w:rsid w:val="00601BEC"/>
    <w:rsid w:val="006150BE"/>
    <w:rsid w:val="0061567D"/>
    <w:rsid w:val="00620B6A"/>
    <w:rsid w:val="00621468"/>
    <w:rsid w:val="00640329"/>
    <w:rsid w:val="00640D71"/>
    <w:rsid w:val="0065506D"/>
    <w:rsid w:val="00655863"/>
    <w:rsid w:val="00657419"/>
    <w:rsid w:val="00662F6B"/>
    <w:rsid w:val="006726E8"/>
    <w:rsid w:val="006741EB"/>
    <w:rsid w:val="00682ED6"/>
    <w:rsid w:val="00686C7F"/>
    <w:rsid w:val="006B4D3F"/>
    <w:rsid w:val="006B755D"/>
    <w:rsid w:val="006C07BB"/>
    <w:rsid w:val="006C16B1"/>
    <w:rsid w:val="006E6B79"/>
    <w:rsid w:val="006F211E"/>
    <w:rsid w:val="006F35E8"/>
    <w:rsid w:val="006F475B"/>
    <w:rsid w:val="006F6261"/>
    <w:rsid w:val="007018F3"/>
    <w:rsid w:val="00701C18"/>
    <w:rsid w:val="00723AA5"/>
    <w:rsid w:val="00726E14"/>
    <w:rsid w:val="00727A90"/>
    <w:rsid w:val="00740779"/>
    <w:rsid w:val="007407EC"/>
    <w:rsid w:val="0075019E"/>
    <w:rsid w:val="007505C2"/>
    <w:rsid w:val="00751B43"/>
    <w:rsid w:val="007616F0"/>
    <w:rsid w:val="007668AE"/>
    <w:rsid w:val="00773AF2"/>
    <w:rsid w:val="00782810"/>
    <w:rsid w:val="00782FE0"/>
    <w:rsid w:val="00784D07"/>
    <w:rsid w:val="00787848"/>
    <w:rsid w:val="0079601C"/>
    <w:rsid w:val="007973B6"/>
    <w:rsid w:val="007A282D"/>
    <w:rsid w:val="007A4E72"/>
    <w:rsid w:val="007C336F"/>
    <w:rsid w:val="007E1D7F"/>
    <w:rsid w:val="007E7D77"/>
    <w:rsid w:val="007F2B4B"/>
    <w:rsid w:val="007F5C0B"/>
    <w:rsid w:val="007F6A91"/>
    <w:rsid w:val="00804ECE"/>
    <w:rsid w:val="00806CB7"/>
    <w:rsid w:val="00807427"/>
    <w:rsid w:val="0081063D"/>
    <w:rsid w:val="00817C53"/>
    <w:rsid w:val="00827EEE"/>
    <w:rsid w:val="0083196E"/>
    <w:rsid w:val="00840772"/>
    <w:rsid w:val="00845A86"/>
    <w:rsid w:val="00852E1A"/>
    <w:rsid w:val="00855351"/>
    <w:rsid w:val="0086518D"/>
    <w:rsid w:val="00865514"/>
    <w:rsid w:val="00881D44"/>
    <w:rsid w:val="008831BB"/>
    <w:rsid w:val="0089223D"/>
    <w:rsid w:val="008A68C5"/>
    <w:rsid w:val="008C3E3D"/>
    <w:rsid w:val="008C4841"/>
    <w:rsid w:val="008C5BAE"/>
    <w:rsid w:val="008C6728"/>
    <w:rsid w:val="008E24DE"/>
    <w:rsid w:val="008E6914"/>
    <w:rsid w:val="008E7E0D"/>
    <w:rsid w:val="008F23DF"/>
    <w:rsid w:val="0090509E"/>
    <w:rsid w:val="00916C43"/>
    <w:rsid w:val="00920118"/>
    <w:rsid w:val="00923B0C"/>
    <w:rsid w:val="009424F2"/>
    <w:rsid w:val="00953E76"/>
    <w:rsid w:val="00961A09"/>
    <w:rsid w:val="0096427E"/>
    <w:rsid w:val="00964F9B"/>
    <w:rsid w:val="00976F25"/>
    <w:rsid w:val="009774ED"/>
    <w:rsid w:val="00977FE4"/>
    <w:rsid w:val="0098284C"/>
    <w:rsid w:val="00985634"/>
    <w:rsid w:val="00990124"/>
    <w:rsid w:val="009A7DDB"/>
    <w:rsid w:val="009B26AD"/>
    <w:rsid w:val="009C64BB"/>
    <w:rsid w:val="009D14CD"/>
    <w:rsid w:val="009D3841"/>
    <w:rsid w:val="009E2782"/>
    <w:rsid w:val="009F1891"/>
    <w:rsid w:val="009F23DE"/>
    <w:rsid w:val="009F78D4"/>
    <w:rsid w:val="00A027F7"/>
    <w:rsid w:val="00A07158"/>
    <w:rsid w:val="00A22634"/>
    <w:rsid w:val="00A23CB1"/>
    <w:rsid w:val="00A25DA8"/>
    <w:rsid w:val="00A329FD"/>
    <w:rsid w:val="00A3703C"/>
    <w:rsid w:val="00A465AA"/>
    <w:rsid w:val="00A5160D"/>
    <w:rsid w:val="00A552E4"/>
    <w:rsid w:val="00A66303"/>
    <w:rsid w:val="00A81461"/>
    <w:rsid w:val="00A83907"/>
    <w:rsid w:val="00A848B4"/>
    <w:rsid w:val="00A92586"/>
    <w:rsid w:val="00AA11A6"/>
    <w:rsid w:val="00AB7ADD"/>
    <w:rsid w:val="00AC1AEE"/>
    <w:rsid w:val="00AC3395"/>
    <w:rsid w:val="00AE0250"/>
    <w:rsid w:val="00AE03E9"/>
    <w:rsid w:val="00AE1925"/>
    <w:rsid w:val="00AE2C36"/>
    <w:rsid w:val="00AF16C9"/>
    <w:rsid w:val="00AF24EE"/>
    <w:rsid w:val="00B00E0A"/>
    <w:rsid w:val="00B071A8"/>
    <w:rsid w:val="00B10A67"/>
    <w:rsid w:val="00B12459"/>
    <w:rsid w:val="00B16E02"/>
    <w:rsid w:val="00B2250A"/>
    <w:rsid w:val="00B2360E"/>
    <w:rsid w:val="00B2452B"/>
    <w:rsid w:val="00B35B28"/>
    <w:rsid w:val="00B43F44"/>
    <w:rsid w:val="00B443E8"/>
    <w:rsid w:val="00B452B7"/>
    <w:rsid w:val="00B47C62"/>
    <w:rsid w:val="00B5156D"/>
    <w:rsid w:val="00B56729"/>
    <w:rsid w:val="00B60764"/>
    <w:rsid w:val="00B720B8"/>
    <w:rsid w:val="00B72814"/>
    <w:rsid w:val="00B73409"/>
    <w:rsid w:val="00B76E8B"/>
    <w:rsid w:val="00B90A60"/>
    <w:rsid w:val="00B93D27"/>
    <w:rsid w:val="00B950C1"/>
    <w:rsid w:val="00B96272"/>
    <w:rsid w:val="00BA429E"/>
    <w:rsid w:val="00BA47F6"/>
    <w:rsid w:val="00BB0007"/>
    <w:rsid w:val="00BB14A2"/>
    <w:rsid w:val="00BE0A05"/>
    <w:rsid w:val="00BE1098"/>
    <w:rsid w:val="00BE3E56"/>
    <w:rsid w:val="00BE4091"/>
    <w:rsid w:val="00BF3308"/>
    <w:rsid w:val="00BF3965"/>
    <w:rsid w:val="00C30D19"/>
    <w:rsid w:val="00C32515"/>
    <w:rsid w:val="00C32DA4"/>
    <w:rsid w:val="00C40547"/>
    <w:rsid w:val="00C40E47"/>
    <w:rsid w:val="00C413C4"/>
    <w:rsid w:val="00C426FC"/>
    <w:rsid w:val="00C50782"/>
    <w:rsid w:val="00C539FA"/>
    <w:rsid w:val="00C55DA7"/>
    <w:rsid w:val="00C633AE"/>
    <w:rsid w:val="00C65950"/>
    <w:rsid w:val="00C70449"/>
    <w:rsid w:val="00C803E3"/>
    <w:rsid w:val="00C85C57"/>
    <w:rsid w:val="00C93EF6"/>
    <w:rsid w:val="00C95E0E"/>
    <w:rsid w:val="00CA29D6"/>
    <w:rsid w:val="00CA489B"/>
    <w:rsid w:val="00CA668C"/>
    <w:rsid w:val="00CB19D9"/>
    <w:rsid w:val="00CC0343"/>
    <w:rsid w:val="00CC5624"/>
    <w:rsid w:val="00CD4886"/>
    <w:rsid w:val="00CD509D"/>
    <w:rsid w:val="00CE0C73"/>
    <w:rsid w:val="00CF1B1F"/>
    <w:rsid w:val="00CF5F79"/>
    <w:rsid w:val="00D00952"/>
    <w:rsid w:val="00D01EA3"/>
    <w:rsid w:val="00D03DA6"/>
    <w:rsid w:val="00D04ED3"/>
    <w:rsid w:val="00D12E16"/>
    <w:rsid w:val="00D30531"/>
    <w:rsid w:val="00D410CF"/>
    <w:rsid w:val="00D460CB"/>
    <w:rsid w:val="00D6009A"/>
    <w:rsid w:val="00D60684"/>
    <w:rsid w:val="00D617AF"/>
    <w:rsid w:val="00D64EC0"/>
    <w:rsid w:val="00D65877"/>
    <w:rsid w:val="00D6688A"/>
    <w:rsid w:val="00D7388B"/>
    <w:rsid w:val="00D8086C"/>
    <w:rsid w:val="00D80E3D"/>
    <w:rsid w:val="00DA1BE7"/>
    <w:rsid w:val="00DB2ECE"/>
    <w:rsid w:val="00DB7287"/>
    <w:rsid w:val="00DC1195"/>
    <w:rsid w:val="00DC3D88"/>
    <w:rsid w:val="00DD2865"/>
    <w:rsid w:val="00DD72A8"/>
    <w:rsid w:val="00DE4AE5"/>
    <w:rsid w:val="00DF21CF"/>
    <w:rsid w:val="00DF7315"/>
    <w:rsid w:val="00E01606"/>
    <w:rsid w:val="00E05959"/>
    <w:rsid w:val="00E05C4C"/>
    <w:rsid w:val="00E10E7C"/>
    <w:rsid w:val="00E2358F"/>
    <w:rsid w:val="00E32E1F"/>
    <w:rsid w:val="00E34254"/>
    <w:rsid w:val="00E4414C"/>
    <w:rsid w:val="00E51FA1"/>
    <w:rsid w:val="00E52A97"/>
    <w:rsid w:val="00E60E55"/>
    <w:rsid w:val="00E63542"/>
    <w:rsid w:val="00E6760F"/>
    <w:rsid w:val="00E76810"/>
    <w:rsid w:val="00E861A3"/>
    <w:rsid w:val="00E91A09"/>
    <w:rsid w:val="00E9708A"/>
    <w:rsid w:val="00EA3B44"/>
    <w:rsid w:val="00EC6BF2"/>
    <w:rsid w:val="00ED1D68"/>
    <w:rsid w:val="00ED484B"/>
    <w:rsid w:val="00EF0933"/>
    <w:rsid w:val="00F03176"/>
    <w:rsid w:val="00F06E67"/>
    <w:rsid w:val="00F1080E"/>
    <w:rsid w:val="00F22482"/>
    <w:rsid w:val="00F31534"/>
    <w:rsid w:val="00F34B0C"/>
    <w:rsid w:val="00F44748"/>
    <w:rsid w:val="00F45E1E"/>
    <w:rsid w:val="00F5223A"/>
    <w:rsid w:val="00F53884"/>
    <w:rsid w:val="00F55AED"/>
    <w:rsid w:val="00F9657E"/>
    <w:rsid w:val="00FA1373"/>
    <w:rsid w:val="00FA1465"/>
    <w:rsid w:val="00FB2C3D"/>
    <w:rsid w:val="00FB4639"/>
    <w:rsid w:val="00FC4D51"/>
    <w:rsid w:val="00FC7B18"/>
    <w:rsid w:val="00FE424A"/>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B73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character" w:customStyle="1" w:styleId="Titre2Car">
    <w:name w:val="Titre 2 Car"/>
    <w:basedOn w:val="Policepardfaut"/>
    <w:link w:val="Titre2"/>
    <w:semiHidden/>
    <w:rsid w:val="00B73409"/>
    <w:rPr>
      <w:rFonts w:asciiTheme="majorHAnsi" w:eastAsiaTheme="majorEastAsia" w:hAnsiTheme="majorHAnsi" w:cstheme="majorBidi"/>
      <w:b/>
      <w:bCs/>
      <w:color w:val="4F81BD" w:themeColor="accent1"/>
      <w:sz w:val="26"/>
      <w:szCs w:val="26"/>
      <w:lang w:val="fr-BE"/>
    </w:rPr>
  </w:style>
  <w:style w:type="paragraph" w:styleId="Citationintense">
    <w:name w:val="Intense Quote"/>
    <w:basedOn w:val="Normal"/>
    <w:next w:val="Normal"/>
    <w:link w:val="CitationintenseCar"/>
    <w:uiPriority w:val="30"/>
    <w:qFormat/>
    <w:rsid w:val="00B73409"/>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rPr>
  </w:style>
  <w:style w:type="character" w:customStyle="1" w:styleId="CitationintenseCar">
    <w:name w:val="Citation intense Car"/>
    <w:basedOn w:val="Policepardfaut"/>
    <w:link w:val="Citationintense"/>
    <w:uiPriority w:val="30"/>
    <w:rsid w:val="00B73409"/>
    <w:rPr>
      <w:rFonts w:asciiTheme="minorHAnsi" w:eastAsiaTheme="minorHAnsi" w:hAnsiTheme="minorHAnsi" w:cstheme="minorBidi"/>
      <w:i/>
      <w:iCs/>
      <w:color w:val="4F81BD" w:themeColor="accent1"/>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B73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character" w:customStyle="1" w:styleId="Titre2Car">
    <w:name w:val="Titre 2 Car"/>
    <w:basedOn w:val="Policepardfaut"/>
    <w:link w:val="Titre2"/>
    <w:semiHidden/>
    <w:rsid w:val="00B73409"/>
    <w:rPr>
      <w:rFonts w:asciiTheme="majorHAnsi" w:eastAsiaTheme="majorEastAsia" w:hAnsiTheme="majorHAnsi" w:cstheme="majorBidi"/>
      <w:b/>
      <w:bCs/>
      <w:color w:val="4F81BD" w:themeColor="accent1"/>
      <w:sz w:val="26"/>
      <w:szCs w:val="26"/>
      <w:lang w:val="fr-BE"/>
    </w:rPr>
  </w:style>
  <w:style w:type="paragraph" w:styleId="Citationintense">
    <w:name w:val="Intense Quote"/>
    <w:basedOn w:val="Normal"/>
    <w:next w:val="Normal"/>
    <w:link w:val="CitationintenseCar"/>
    <w:uiPriority w:val="30"/>
    <w:qFormat/>
    <w:rsid w:val="00B73409"/>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rPr>
  </w:style>
  <w:style w:type="character" w:customStyle="1" w:styleId="CitationintenseCar">
    <w:name w:val="Citation intense Car"/>
    <w:basedOn w:val="Policepardfaut"/>
    <w:link w:val="Citationintense"/>
    <w:uiPriority w:val="30"/>
    <w:rsid w:val="00B73409"/>
    <w:rPr>
      <w:rFonts w:asciiTheme="minorHAnsi" w:eastAsiaTheme="minorHAnsi" w:hAnsiTheme="minorHAnsi" w:cstheme="minorBidi"/>
      <w:i/>
      <w:iCs/>
      <w:color w:val="4F81BD" w:themeColor="accent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015">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Classeur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BE"/>
              <a:t>IMPORTATIONS</a:t>
            </a:r>
            <a:r>
              <a:rPr lang="fr-BE" baseline="0"/>
              <a:t> PAR TYPE DE VIANDE</a:t>
            </a:r>
            <a:endParaRPr lang="fr-BE"/>
          </a:p>
        </c:rich>
      </c:tx>
      <c:layout>
        <c:manualLayout>
          <c:xMode val="edge"/>
          <c:yMode val="edge"/>
          <c:x val="0.10813683643079969"/>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830-4570-B85C-76B693971B2D}"/>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830-4570-B85C-76B693971B2D}"/>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830-4570-B85C-76B693971B2D}"/>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830-4570-B85C-76B693971B2D}"/>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830-4570-B85C-76B693971B2D}"/>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E830-4570-B85C-76B693971B2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E830-4570-B85C-76B693971B2D}"/>
              </c:ext>
            </c:extLst>
          </c:dPt>
          <c:dLbls>
            <c:delete val="1"/>
          </c:dLbls>
          <c:cat>
            <c:strRef>
              <c:f>Feuil1!$A$1:$A$7</c:f>
              <c:strCache>
                <c:ptCount val="7"/>
                <c:pt idx="0">
                  <c:v>porc</c:v>
                </c:pt>
                <c:pt idx="1">
                  <c:v>bovine </c:v>
                </c:pt>
                <c:pt idx="2">
                  <c:v>vollaile </c:v>
                </c:pt>
                <c:pt idx="3">
                  <c:v>viande ovine et caprines</c:v>
                </c:pt>
                <c:pt idx="4">
                  <c:v>Conserve de viande </c:v>
                </c:pt>
                <c:pt idx="5">
                  <c:v>Viande bovine congelée</c:v>
                </c:pt>
                <c:pt idx="6">
                  <c:v>Autres produits ( lait, œufs, animaux vivants) </c:v>
                </c:pt>
              </c:strCache>
            </c:strRef>
          </c:cat>
          <c:val>
            <c:numRef>
              <c:f>Feuil1!$B$1:$B$7</c:f>
              <c:numCache>
                <c:formatCode>0%</c:formatCode>
                <c:ptCount val="7"/>
                <c:pt idx="0">
                  <c:v>0.19</c:v>
                </c:pt>
                <c:pt idx="1">
                  <c:v>0.16</c:v>
                </c:pt>
                <c:pt idx="2" formatCode="0.00%">
                  <c:v>5.5E-2</c:v>
                </c:pt>
                <c:pt idx="3" formatCode="0.00%">
                  <c:v>1.0999999999999999E-2</c:v>
                </c:pt>
                <c:pt idx="4" formatCode="0.00%">
                  <c:v>5.1999999999999998E-3</c:v>
                </c:pt>
                <c:pt idx="5" formatCode="0.00%">
                  <c:v>5.0000000000000001E-3</c:v>
                </c:pt>
                <c:pt idx="6" formatCode="0.00%">
                  <c:v>0.57350000000000001</c:v>
                </c:pt>
              </c:numCache>
            </c:numRef>
          </c:val>
          <c:extLst xmlns:c16r2="http://schemas.microsoft.com/office/drawing/2015/06/chart">
            <c:ext xmlns:c16="http://schemas.microsoft.com/office/drawing/2014/chart" uri="{C3380CC4-5D6E-409C-BE32-E72D297353CC}">
              <c16:uniqueId val="{0000000E-E830-4570-B85C-76B693971B2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2.xml><?xml version="1.0" encoding="utf-8"?>
<ds:datastoreItem xmlns:ds="http://schemas.openxmlformats.org/officeDocument/2006/customXml" ds:itemID="{8C577579-6B26-41A5-B02C-E3626311D02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583891-84FF-47BD-B889-CD6E2BDA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2343</Characters>
  <Application>Microsoft Office Word</Application>
  <DocSecurity>0</DocSecurity>
  <Lines>19</Lines>
  <Paragraphs>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Le marché de la santé en (Nom de pays)</vt:lpstr>
      <vt:lpstr>Le marché de la santé en (Nom de pays)</vt:lpstr>
      <vt:lpstr>Le marché de la santé en (Nom de pays)</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2</cp:revision>
  <cp:lastPrinted>2019-02-27T08:34:00Z</cp:lastPrinted>
  <dcterms:created xsi:type="dcterms:W3CDTF">2019-02-27T08:34:00Z</dcterms:created>
  <dcterms:modified xsi:type="dcterms:W3CDTF">2019-02-27T08:34:00Z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