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C9" w:rsidRDefault="00E520C9" w:rsidP="00E520C9">
      <w:pPr>
        <w:rPr>
          <w:rStyle w:val="Lienhypertexte"/>
          <w:color w:val="auto"/>
          <w:u w:val="none"/>
        </w:rPr>
      </w:pPr>
      <w:bookmarkStart w:id="0" w:name="_GoBack"/>
      <w:bookmarkEnd w:id="0"/>
    </w:p>
    <w:p w:rsidR="00E520C9" w:rsidRPr="00521AC7" w:rsidRDefault="00521AC7" w:rsidP="00521AC7">
      <w:pPr>
        <w:jc w:val="center"/>
        <w:rPr>
          <w:b/>
          <w:sz w:val="36"/>
          <w:szCs w:val="36"/>
        </w:rPr>
      </w:pPr>
      <w:r w:rsidRPr="00521AC7">
        <w:rPr>
          <w:rStyle w:val="Lienhypertexte"/>
          <w:b/>
          <w:color w:val="auto"/>
          <w:sz w:val="36"/>
          <w:szCs w:val="36"/>
          <w:u w:val="none"/>
        </w:rPr>
        <w:t>Awex Prague – le s</w:t>
      </w:r>
      <w:r w:rsidR="00E520C9" w:rsidRPr="00521AC7">
        <w:rPr>
          <w:b/>
          <w:sz w:val="36"/>
          <w:szCs w:val="36"/>
        </w:rPr>
        <w:t>ecteur alimentaire en Rép</w:t>
      </w:r>
      <w:r w:rsidRPr="00521AC7">
        <w:rPr>
          <w:b/>
          <w:sz w:val="36"/>
          <w:szCs w:val="36"/>
        </w:rPr>
        <w:t>ublique tchèque</w:t>
      </w:r>
    </w:p>
    <w:p w:rsidR="00521AC7" w:rsidRDefault="00521AC7" w:rsidP="00E520C9">
      <w:pPr>
        <w:rPr>
          <w:b/>
          <w:sz w:val="28"/>
          <w:szCs w:val="28"/>
        </w:rPr>
      </w:pPr>
    </w:p>
    <w:p w:rsidR="00E520C9" w:rsidRPr="001F3631" w:rsidRDefault="00E520C9" w:rsidP="00E520C9">
      <w:pPr>
        <w:rPr>
          <w:b/>
          <w:sz w:val="28"/>
          <w:szCs w:val="28"/>
        </w:rPr>
      </w:pPr>
      <w:r w:rsidRPr="008B73ED">
        <w:rPr>
          <w:b/>
          <w:sz w:val="28"/>
          <w:szCs w:val="28"/>
        </w:rPr>
        <w:t>Indicateurs économiques</w:t>
      </w:r>
      <w:r w:rsidRPr="001F3631">
        <w:rPr>
          <w:b/>
          <w:sz w:val="28"/>
          <w:szCs w:val="28"/>
        </w:rPr>
        <w:t xml:space="preserve"> </w:t>
      </w:r>
    </w:p>
    <w:p w:rsidR="00E520C9" w:rsidRPr="00675297" w:rsidRDefault="00675297" w:rsidP="00E520C9">
      <w:pPr>
        <w:jc w:val="both"/>
        <w:rPr>
          <w:rFonts w:asciiTheme="minorHAnsi" w:hAnsiTheme="minorHAnsi"/>
        </w:rPr>
      </w:pPr>
      <w:r>
        <w:rPr>
          <w:rFonts w:asciiTheme="minorHAnsi" w:hAnsiTheme="minorHAnsi"/>
        </w:rPr>
        <w:t>En 2015, l</w:t>
      </w:r>
      <w:r w:rsidR="00E520C9" w:rsidRPr="00675297">
        <w:rPr>
          <w:rFonts w:asciiTheme="minorHAnsi" w:hAnsiTheme="minorHAnsi"/>
        </w:rPr>
        <w:t>e secteur  alimentaire et boisson en RT (République tchèque) comprenait  9,286 compagnies, dont environ 99</w:t>
      </w:r>
      <w:r>
        <w:rPr>
          <w:rFonts w:asciiTheme="minorHAnsi" w:hAnsiTheme="minorHAnsi"/>
        </w:rPr>
        <w:t> </w:t>
      </w:r>
      <w:r w:rsidR="00E520C9" w:rsidRPr="00675297">
        <w:rPr>
          <w:rFonts w:asciiTheme="minorHAnsi" w:hAnsiTheme="minorHAnsi"/>
        </w:rPr>
        <w:t xml:space="preserve">% étaient des PME (moins de 250 employés). Une part substantielle de ces petites sociétés (42.5%) </w:t>
      </w:r>
      <w:r>
        <w:rPr>
          <w:rFonts w:asciiTheme="minorHAnsi" w:hAnsiTheme="minorHAnsi"/>
        </w:rPr>
        <w:t xml:space="preserve">est active </w:t>
      </w:r>
      <w:r w:rsidR="00E520C9" w:rsidRPr="00675297">
        <w:rPr>
          <w:rFonts w:asciiTheme="minorHAnsi" w:hAnsiTheme="minorHAnsi"/>
        </w:rPr>
        <w:t xml:space="preserve">dans le sous-secteur de la boulangerie. </w:t>
      </w:r>
    </w:p>
    <w:p w:rsidR="00E520C9" w:rsidRPr="00675297" w:rsidRDefault="00E520C9" w:rsidP="00E520C9">
      <w:pPr>
        <w:jc w:val="both"/>
        <w:rPr>
          <w:rFonts w:asciiTheme="minorHAnsi" w:hAnsiTheme="minorHAnsi"/>
        </w:rPr>
      </w:pPr>
      <w:r w:rsidRPr="00675297">
        <w:rPr>
          <w:rFonts w:asciiTheme="minorHAnsi" w:hAnsiTheme="minorHAnsi"/>
        </w:rPr>
        <w:t xml:space="preserve">L’ensemble de ces compagnies emploient environ 100.000 personnes directement. </w:t>
      </w:r>
    </w:p>
    <w:p w:rsidR="00E520C9" w:rsidRPr="00675297" w:rsidRDefault="00E520C9" w:rsidP="00E520C9">
      <w:pPr>
        <w:jc w:val="both"/>
        <w:rPr>
          <w:rFonts w:asciiTheme="minorHAnsi" w:hAnsiTheme="minorHAnsi"/>
        </w:rPr>
      </w:pPr>
      <w:r w:rsidRPr="00675297">
        <w:rPr>
          <w:rFonts w:asciiTheme="minorHAnsi" w:hAnsiTheme="minorHAnsi"/>
        </w:rPr>
        <w:t>Cela représente environ 8.1</w:t>
      </w:r>
      <w:r w:rsidR="00675297">
        <w:rPr>
          <w:rFonts w:asciiTheme="minorHAnsi" w:hAnsiTheme="minorHAnsi"/>
        </w:rPr>
        <w:t> </w:t>
      </w:r>
      <w:r w:rsidRPr="00675297">
        <w:rPr>
          <w:rFonts w:asciiTheme="minorHAnsi" w:hAnsiTheme="minorHAnsi"/>
        </w:rPr>
        <w:t>% du secteur industriel tchèque en entier. Indirectement, ce secteur compte plusieurs centaines de milliers de travailleurs indirects notamment dans les services commerciaux, l’agriculture et le transport.</w:t>
      </w:r>
    </w:p>
    <w:p w:rsidR="00E520C9" w:rsidRPr="00675297" w:rsidRDefault="00E520C9" w:rsidP="00E520C9">
      <w:pPr>
        <w:jc w:val="both"/>
        <w:rPr>
          <w:rFonts w:asciiTheme="minorHAnsi" w:hAnsiTheme="minorHAnsi"/>
        </w:rPr>
      </w:pPr>
      <w:r w:rsidRPr="00675297">
        <w:rPr>
          <w:rFonts w:asciiTheme="minorHAnsi" w:hAnsiTheme="minorHAnsi"/>
        </w:rPr>
        <w:t xml:space="preserve">Le secteur au total afficherait une valeur de 14.07 Mrds € avec une valeur ajoutée de 2.6 Mrds €. </w:t>
      </w:r>
    </w:p>
    <w:p w:rsidR="00E520C9" w:rsidRPr="00675297" w:rsidRDefault="00E520C9" w:rsidP="00E520C9">
      <w:pPr>
        <w:jc w:val="both"/>
        <w:rPr>
          <w:rFonts w:asciiTheme="minorHAnsi" w:hAnsiTheme="minorHAnsi"/>
        </w:rPr>
      </w:pPr>
      <w:r w:rsidRPr="00675297">
        <w:rPr>
          <w:rFonts w:asciiTheme="minorHAnsi" w:hAnsiTheme="minorHAnsi"/>
        </w:rPr>
        <w:t>Comparé à l’ensemble du secteur industriel  tchèque (143.88 Mrds €), le secteur alimentaire et boissons compte pour  9.78</w:t>
      </w:r>
      <w:r w:rsidR="00675297">
        <w:rPr>
          <w:rFonts w:asciiTheme="minorHAnsi" w:hAnsiTheme="minorHAnsi"/>
        </w:rPr>
        <w:t> </w:t>
      </w:r>
      <w:r w:rsidRPr="00675297">
        <w:rPr>
          <w:rFonts w:asciiTheme="minorHAnsi" w:hAnsiTheme="minorHAnsi"/>
        </w:rPr>
        <w:t xml:space="preserve">%. </w:t>
      </w:r>
    </w:p>
    <w:p w:rsidR="00E520C9" w:rsidRPr="00675297" w:rsidRDefault="00675297" w:rsidP="00E520C9">
      <w:pPr>
        <w:jc w:val="both"/>
        <w:rPr>
          <w:rFonts w:asciiTheme="minorHAnsi" w:hAnsiTheme="minorHAnsi"/>
        </w:rPr>
      </w:pPr>
      <w:r>
        <w:rPr>
          <w:rFonts w:asciiTheme="minorHAnsi" w:hAnsiTheme="minorHAnsi"/>
        </w:rPr>
        <w:t>En 2015, l</w:t>
      </w:r>
      <w:r w:rsidR="00E520C9" w:rsidRPr="00675297">
        <w:rPr>
          <w:rFonts w:asciiTheme="minorHAnsi" w:hAnsiTheme="minorHAnsi"/>
        </w:rPr>
        <w:t xml:space="preserve">es sociétés du secteur ont importé pour  5.6 Mrds €, et les exportations ont atteint  un </w:t>
      </w:r>
      <w:r>
        <w:rPr>
          <w:rFonts w:asciiTheme="minorHAnsi" w:hAnsiTheme="minorHAnsi"/>
        </w:rPr>
        <w:t>total 4.44 </w:t>
      </w:r>
      <w:r w:rsidR="00E520C9" w:rsidRPr="00675297">
        <w:rPr>
          <w:rFonts w:asciiTheme="minorHAnsi" w:hAnsiTheme="minorHAnsi"/>
        </w:rPr>
        <w:t>Mrds €.</w:t>
      </w:r>
    </w:p>
    <w:p w:rsidR="00521AC7" w:rsidRDefault="00521AC7" w:rsidP="00E520C9">
      <w:pPr>
        <w:jc w:val="both"/>
        <w:rPr>
          <w:b/>
          <w:sz w:val="32"/>
          <w:szCs w:val="32"/>
        </w:rPr>
      </w:pPr>
    </w:p>
    <w:p w:rsidR="00E520C9" w:rsidRPr="008B73ED" w:rsidRDefault="00E520C9" w:rsidP="00E520C9">
      <w:pPr>
        <w:jc w:val="both"/>
        <w:rPr>
          <w:b/>
          <w:sz w:val="32"/>
          <w:szCs w:val="32"/>
        </w:rPr>
      </w:pPr>
      <w:r w:rsidRPr="008B73ED">
        <w:rPr>
          <w:b/>
          <w:sz w:val="32"/>
          <w:szCs w:val="32"/>
        </w:rPr>
        <w:t>Organisation sectorielle</w:t>
      </w:r>
    </w:p>
    <w:p w:rsidR="00E520C9" w:rsidRPr="008B73ED" w:rsidRDefault="00E520C9" w:rsidP="00E520C9">
      <w:pPr>
        <w:jc w:val="both"/>
      </w:pPr>
      <w:r w:rsidRPr="008B73ED">
        <w:t xml:space="preserve">L’entièreté du secteur alimentaire et boisson est représentée en RT par “ Potravinářská komora České republiky (FFDI, Federation of the Food and Drink Industries of the Czech Republic). </w:t>
      </w:r>
    </w:p>
    <w:p w:rsidR="00E520C9" w:rsidRPr="008319FF" w:rsidRDefault="00E520C9" w:rsidP="00E520C9">
      <w:pPr>
        <w:jc w:val="both"/>
      </w:pPr>
      <w:r w:rsidRPr="008319FF">
        <w:t>Environ 100 compagnies sont membres direct</w:t>
      </w:r>
      <w:r>
        <w:t>s</w:t>
      </w:r>
      <w:r w:rsidRPr="008319FF">
        <w:t xml:space="preserve"> de la fé</w:t>
      </w:r>
      <w:r>
        <w:t>dé</w:t>
      </w:r>
      <w:r w:rsidRPr="008319FF">
        <w:t xml:space="preserve">ration. </w:t>
      </w:r>
    </w:p>
    <w:p w:rsidR="00E520C9" w:rsidRDefault="00E520C9" w:rsidP="00E520C9">
      <w:pPr>
        <w:jc w:val="both"/>
      </w:pPr>
      <w:r w:rsidRPr="008319FF">
        <w:t xml:space="preserve">De plus, 22 organisations sous-secteurs sont également membres  </w:t>
      </w:r>
      <w:r>
        <w:t>ainsi que 44 partenaires de branches liées</w:t>
      </w:r>
      <w:r w:rsidRPr="008319FF">
        <w:t xml:space="preserve"> </w:t>
      </w:r>
      <w:r>
        <w:t>au secteur alimentaire.</w:t>
      </w:r>
    </w:p>
    <w:p w:rsidR="00E520C9" w:rsidRPr="008319FF" w:rsidRDefault="00E520C9" w:rsidP="00E520C9">
      <w:pPr>
        <w:jc w:val="both"/>
      </w:pPr>
      <w:r>
        <w:t xml:space="preserve">En voici quelques-unes  qui concernent plus spécialement </w:t>
      </w:r>
      <w:r w:rsidRPr="008319FF">
        <w:t xml:space="preserve"> </w:t>
      </w:r>
      <w:r>
        <w:t>le secteur de la viande et de la boulangerie.</w:t>
      </w:r>
    </w:p>
    <w:p w:rsidR="00E520C9" w:rsidRPr="00DC75FA" w:rsidRDefault="00E520C9" w:rsidP="00E520C9">
      <w:pPr>
        <w:jc w:val="both"/>
      </w:pPr>
      <w:r>
        <w:sym w:font="Symbol" w:char="F0B7"/>
      </w:r>
      <w:r w:rsidRPr="00DC75FA">
        <w:t xml:space="preserve"> Asociace výrobců lahůdek (AVL) – delicatessen</w:t>
      </w:r>
    </w:p>
    <w:p w:rsidR="00E520C9" w:rsidRPr="00DC75FA" w:rsidRDefault="00E520C9" w:rsidP="00E520C9">
      <w:pPr>
        <w:jc w:val="both"/>
      </w:pPr>
      <w:r>
        <w:sym w:font="Symbol" w:char="F0B7"/>
      </w:r>
      <w:r w:rsidRPr="00DC75FA">
        <w:t xml:space="preserve"> Českomoravská drůbežářská unie (ČDU) – poultry breeders, eggs </w:t>
      </w:r>
    </w:p>
    <w:p w:rsidR="00E520C9" w:rsidRPr="00DC75FA" w:rsidRDefault="00E520C9" w:rsidP="00E520C9">
      <w:pPr>
        <w:jc w:val="both"/>
      </w:pPr>
      <w:r>
        <w:sym w:font="Symbol" w:char="F0B7"/>
      </w:r>
      <w:r w:rsidRPr="00DC75FA">
        <w:t xml:space="preserve"> Českomoravský svaz mlékárenský (ČMSM) – dairy </w:t>
      </w:r>
    </w:p>
    <w:p w:rsidR="00E520C9" w:rsidRPr="00DC75FA" w:rsidRDefault="00E520C9" w:rsidP="00E520C9">
      <w:pPr>
        <w:jc w:val="both"/>
      </w:pPr>
      <w:r>
        <w:sym w:font="Symbol" w:char="F0B7"/>
      </w:r>
      <w:r w:rsidRPr="00DC75FA">
        <w:t xml:space="preserve"> Český svaz zpracovatelů masa (ČSZM) – meat, charcuterie</w:t>
      </w:r>
    </w:p>
    <w:p w:rsidR="00E520C9" w:rsidRDefault="00E520C9" w:rsidP="00E520C9">
      <w:pPr>
        <w:jc w:val="both"/>
      </w:pPr>
      <w:r>
        <w:sym w:font="Symbol" w:char="F0B7"/>
      </w:r>
      <w:r w:rsidRPr="00DC75FA">
        <w:t xml:space="preserve"> Sdružení drůbežářských podniků (SDP) – poultry</w:t>
      </w:r>
    </w:p>
    <w:p w:rsidR="00521AC7" w:rsidRPr="00DC75FA" w:rsidRDefault="00521AC7" w:rsidP="00E520C9">
      <w:pPr>
        <w:jc w:val="both"/>
      </w:pPr>
    </w:p>
    <w:p w:rsidR="00E520C9" w:rsidRPr="00521AC7" w:rsidRDefault="00E520C9" w:rsidP="00E520C9">
      <w:pPr>
        <w:jc w:val="both"/>
        <w:rPr>
          <w:lang w:val="en-US"/>
        </w:rPr>
      </w:pPr>
      <w:r w:rsidRPr="00521AC7">
        <w:rPr>
          <w:lang w:val="en-US"/>
        </w:rPr>
        <w:t xml:space="preserve"> </w:t>
      </w:r>
      <w:r>
        <w:sym w:font="Symbol" w:char="F0B7"/>
      </w:r>
      <w:r w:rsidRPr="00521AC7">
        <w:rPr>
          <w:lang w:val="en-US"/>
        </w:rPr>
        <w:t xml:space="preserve"> Společenstvo mlynářů a pekařů ČR (SMP ČR) – mill and bakery products</w:t>
      </w:r>
    </w:p>
    <w:p w:rsidR="00E520C9" w:rsidRDefault="00E520C9" w:rsidP="00E520C9">
      <w:pPr>
        <w:jc w:val="both"/>
        <w:rPr>
          <w:lang w:val="en-US"/>
        </w:rPr>
      </w:pPr>
      <w:r w:rsidRPr="00521AC7">
        <w:rPr>
          <w:lang w:val="en-US"/>
        </w:rPr>
        <w:t xml:space="preserve"> </w:t>
      </w:r>
      <w:r>
        <w:sym w:font="Symbol" w:char="F0B7"/>
      </w:r>
      <w:r w:rsidRPr="007444AC">
        <w:rPr>
          <w:lang w:val="en-US"/>
        </w:rPr>
        <w:t xml:space="preserve"> Spolek pro komodity a krmiva (SKK) – feed processing and commodity storage</w:t>
      </w:r>
    </w:p>
    <w:p w:rsidR="00E520C9" w:rsidRDefault="00E520C9" w:rsidP="00E520C9">
      <w:pPr>
        <w:jc w:val="both"/>
        <w:rPr>
          <w:lang w:val="en-US"/>
        </w:rPr>
      </w:pPr>
      <w:r w:rsidRPr="007444AC">
        <w:rPr>
          <w:lang w:val="en-US"/>
        </w:rPr>
        <w:t xml:space="preserve">  </w:t>
      </w:r>
      <w:r>
        <w:sym w:font="Symbol" w:char="F0B7"/>
      </w:r>
      <w:r w:rsidRPr="007444AC">
        <w:rPr>
          <w:lang w:val="en-US"/>
        </w:rPr>
        <w:t xml:space="preserve"> Svaz pekařů a cukrářů v České republice, (SPC ČR) – bakery products </w:t>
      </w:r>
    </w:p>
    <w:p w:rsidR="00E520C9" w:rsidRDefault="00E520C9" w:rsidP="00E520C9">
      <w:pPr>
        <w:rPr>
          <w:lang w:val="en-US"/>
        </w:rPr>
      </w:pPr>
      <w:r>
        <w:sym w:font="Symbol" w:char="F0B7"/>
      </w:r>
      <w:r w:rsidRPr="007444AC">
        <w:rPr>
          <w:lang w:val="en-US"/>
        </w:rPr>
        <w:t xml:space="preserve"> Svaz průmyslových mlýnů České republiky (SPM ČR) – mill products and pasta</w:t>
      </w:r>
    </w:p>
    <w:p w:rsidR="00E520C9" w:rsidRDefault="00E520C9" w:rsidP="00E520C9">
      <w:pPr>
        <w:pStyle w:val="Default"/>
        <w:rPr>
          <w:b/>
          <w:bCs/>
          <w:sz w:val="23"/>
          <w:szCs w:val="23"/>
          <w:lang w:val="en-US"/>
        </w:rPr>
      </w:pPr>
    </w:p>
    <w:p w:rsidR="00E520C9" w:rsidRPr="00B818F0" w:rsidRDefault="00E520C9" w:rsidP="00E520C9">
      <w:pPr>
        <w:pStyle w:val="Default"/>
        <w:rPr>
          <w:b/>
          <w:bCs/>
          <w:sz w:val="23"/>
          <w:szCs w:val="23"/>
        </w:rPr>
      </w:pPr>
      <w:r w:rsidRPr="00B818F0">
        <w:rPr>
          <w:b/>
          <w:bCs/>
          <w:sz w:val="23"/>
          <w:szCs w:val="23"/>
        </w:rPr>
        <w:t>Approche du marché</w:t>
      </w:r>
    </w:p>
    <w:p w:rsidR="00E520C9" w:rsidRPr="00B818F0" w:rsidRDefault="00E520C9" w:rsidP="00E520C9">
      <w:pPr>
        <w:pStyle w:val="Default"/>
        <w:rPr>
          <w:b/>
          <w:bCs/>
          <w:sz w:val="23"/>
          <w:szCs w:val="23"/>
        </w:rPr>
      </w:pPr>
    </w:p>
    <w:p w:rsidR="00E520C9" w:rsidRPr="00675297" w:rsidRDefault="00E520C9" w:rsidP="00E520C9">
      <w:pPr>
        <w:jc w:val="both"/>
      </w:pPr>
      <w:r w:rsidRPr="00675297">
        <w:t>Les Hypermarchés demeurent le plus grand canal de distribution, comptant pour plus de 40</w:t>
      </w:r>
      <w:r w:rsidR="00675297">
        <w:t> </w:t>
      </w:r>
      <w:r w:rsidRPr="00675297">
        <w:t>% de la vente au détail.</w:t>
      </w:r>
    </w:p>
    <w:p w:rsidR="00E520C9" w:rsidRDefault="00E520C9" w:rsidP="00E520C9">
      <w:r w:rsidRPr="00675297">
        <w:t>Les grands chaines en alimentation ont leur propre section d’achats  et se fournissent soit via leur centrale d’achats locale ou à travers un importateur tchèque. Cependant, dans un contexte d’ouverture européen, certaines chaines (par ex Makro, Lidl) font appel à leur centrale localisée dans un pays EU pour obtenir des produits meilleur marché tout en étant de bonne qualité.</w:t>
      </w:r>
    </w:p>
    <w:p w:rsidR="00675297" w:rsidRPr="00675297" w:rsidRDefault="00675297" w:rsidP="00E520C9"/>
    <w:p w:rsidR="00E520C9" w:rsidRPr="00675297" w:rsidRDefault="00E520C9" w:rsidP="00E520C9">
      <w:r w:rsidRPr="00675297">
        <w:t>Les grandes multinationales de vente au détail en RT  sont représentées notamment par les hypermarchés</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26"/>
        <w:gridCol w:w="1307"/>
        <w:gridCol w:w="1307"/>
        <w:gridCol w:w="1307"/>
        <w:gridCol w:w="1307"/>
        <w:gridCol w:w="1307"/>
        <w:gridCol w:w="360"/>
      </w:tblGrid>
      <w:tr w:rsidR="00E520C9" w:rsidTr="007B30F0">
        <w:trPr>
          <w:trHeight w:val="107"/>
        </w:trPr>
        <w:tc>
          <w:tcPr>
            <w:tcW w:w="1526" w:type="dxa"/>
            <w:tcBorders>
              <w:top w:val="nil"/>
              <w:left w:val="nil"/>
              <w:bottom w:val="nil"/>
              <w:right w:val="nil"/>
            </w:tcBorders>
          </w:tcPr>
          <w:p w:rsidR="00E520C9" w:rsidRDefault="00E520C9" w:rsidP="007B30F0">
            <w:pPr>
              <w:pStyle w:val="Default"/>
              <w:rPr>
                <w:b/>
                <w:bCs/>
                <w:sz w:val="23"/>
                <w:szCs w:val="23"/>
                <w:lang w:val="en-US"/>
              </w:rPr>
            </w:pPr>
            <w:r>
              <w:rPr>
                <w:b/>
                <w:bCs/>
                <w:sz w:val="23"/>
                <w:szCs w:val="23"/>
                <w:lang w:val="en-US"/>
              </w:rPr>
              <w:t>Hypermarchés</w:t>
            </w:r>
            <w:r w:rsidRPr="00DC75FA">
              <w:rPr>
                <w:b/>
                <w:bCs/>
                <w:sz w:val="23"/>
                <w:szCs w:val="23"/>
                <w:lang w:val="en-US"/>
              </w:rPr>
              <w:t xml:space="preserve"> % val</w:t>
            </w:r>
            <w:r>
              <w:rPr>
                <w:b/>
                <w:bCs/>
                <w:sz w:val="23"/>
                <w:szCs w:val="23"/>
                <w:lang w:val="en-US"/>
              </w:rPr>
              <w:t>eur</w:t>
            </w:r>
          </w:p>
          <w:p w:rsidR="00E520C9" w:rsidRPr="00DC75FA" w:rsidRDefault="00E520C9" w:rsidP="007B30F0">
            <w:pPr>
              <w:pStyle w:val="Default"/>
              <w:rPr>
                <w:sz w:val="23"/>
                <w:szCs w:val="23"/>
                <w:lang w:val="en-US"/>
              </w:rPr>
            </w:pPr>
          </w:p>
        </w:tc>
        <w:tc>
          <w:tcPr>
            <w:tcW w:w="1307" w:type="dxa"/>
            <w:tcBorders>
              <w:top w:val="nil"/>
              <w:left w:val="nil"/>
              <w:bottom w:val="nil"/>
              <w:right w:val="nil"/>
            </w:tcBorders>
          </w:tcPr>
          <w:p w:rsidR="00E520C9" w:rsidRDefault="00E520C9" w:rsidP="007B30F0">
            <w:pPr>
              <w:pStyle w:val="Default"/>
              <w:rPr>
                <w:sz w:val="23"/>
                <w:szCs w:val="23"/>
              </w:rPr>
            </w:pPr>
            <w:r w:rsidRPr="00DC75FA">
              <w:rPr>
                <w:sz w:val="23"/>
                <w:szCs w:val="23"/>
                <w:lang w:val="en-US"/>
              </w:rPr>
              <w:t xml:space="preserve"> </w:t>
            </w:r>
            <w:r>
              <w:rPr>
                <w:b/>
                <w:bCs/>
                <w:sz w:val="23"/>
                <w:szCs w:val="23"/>
              </w:rPr>
              <w:t xml:space="preserve">2010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w:t>
            </w:r>
            <w:r>
              <w:rPr>
                <w:b/>
                <w:bCs/>
                <w:sz w:val="23"/>
                <w:szCs w:val="23"/>
              </w:rPr>
              <w:t xml:space="preserve">2011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w:t>
            </w:r>
            <w:r>
              <w:rPr>
                <w:b/>
                <w:bCs/>
                <w:sz w:val="23"/>
                <w:szCs w:val="23"/>
              </w:rPr>
              <w:t xml:space="preserve">2012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w:t>
            </w:r>
            <w:r>
              <w:rPr>
                <w:b/>
                <w:bCs/>
                <w:sz w:val="23"/>
                <w:szCs w:val="23"/>
              </w:rPr>
              <w:t xml:space="preserve">2013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w:t>
            </w:r>
            <w:r>
              <w:rPr>
                <w:b/>
                <w:bCs/>
                <w:sz w:val="23"/>
                <w:szCs w:val="23"/>
              </w:rPr>
              <w:t xml:space="preserve">2014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Kaufland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12.2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12.8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13.4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14.3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14.8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Ahold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11.4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11.4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11.3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11.0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11.2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Tesco Stores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10.8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11.3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10.9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10.1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Penny Market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8.1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8.2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8.7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8.9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9.2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Lidl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6.5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6.9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7.4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7.6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7.9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Billa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6.3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6.1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6.1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6.0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Globus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6.1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5.9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5.8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5.7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Spar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3.4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3.5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3.6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3.5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2.7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Autres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34.9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33.7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32.8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32.5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32.4 </w:t>
            </w:r>
          </w:p>
        </w:tc>
        <w:tc>
          <w:tcPr>
            <w:tcW w:w="360" w:type="dxa"/>
          </w:tcPr>
          <w:p w:rsidR="00E520C9" w:rsidRDefault="00E520C9" w:rsidP="007B30F0">
            <w:r>
              <w:rPr>
                <w:sz w:val="23"/>
                <w:szCs w:val="23"/>
              </w:rPr>
              <w:t xml:space="preserve"> </w:t>
            </w:r>
          </w:p>
        </w:tc>
      </w:tr>
      <w:tr w:rsidR="00E520C9" w:rsidTr="007B30F0">
        <w:trPr>
          <w:trHeight w:val="109"/>
        </w:trPr>
        <w:tc>
          <w:tcPr>
            <w:tcW w:w="1526" w:type="dxa"/>
            <w:tcBorders>
              <w:top w:val="nil"/>
              <w:left w:val="nil"/>
              <w:bottom w:val="nil"/>
              <w:right w:val="nil"/>
            </w:tcBorders>
          </w:tcPr>
          <w:p w:rsidR="00E520C9" w:rsidRDefault="00E520C9" w:rsidP="007B30F0">
            <w:pPr>
              <w:pStyle w:val="Default"/>
              <w:rPr>
                <w:sz w:val="23"/>
                <w:szCs w:val="23"/>
              </w:rPr>
            </w:pPr>
            <w:r>
              <w:rPr>
                <w:color w:val="auto"/>
              </w:rPr>
              <w:t xml:space="preserve"> </w:t>
            </w:r>
            <w:r>
              <w:rPr>
                <w:sz w:val="23"/>
                <w:szCs w:val="23"/>
              </w:rPr>
              <w:t xml:space="preserve">Total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100.0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100.0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100.0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100.0 </w:t>
            </w:r>
          </w:p>
        </w:tc>
        <w:tc>
          <w:tcPr>
            <w:tcW w:w="1307" w:type="dxa"/>
            <w:tcBorders>
              <w:top w:val="nil"/>
              <w:left w:val="nil"/>
              <w:bottom w:val="nil"/>
              <w:right w:val="nil"/>
            </w:tcBorders>
          </w:tcPr>
          <w:p w:rsidR="00E520C9" w:rsidRDefault="00E520C9" w:rsidP="007B30F0">
            <w:pPr>
              <w:pStyle w:val="Default"/>
              <w:rPr>
                <w:sz w:val="23"/>
                <w:szCs w:val="23"/>
              </w:rPr>
            </w:pPr>
            <w:r>
              <w:rPr>
                <w:sz w:val="23"/>
                <w:szCs w:val="23"/>
              </w:rPr>
              <w:t xml:space="preserve"> 100.0 </w:t>
            </w:r>
          </w:p>
        </w:tc>
        <w:tc>
          <w:tcPr>
            <w:tcW w:w="360" w:type="dxa"/>
          </w:tcPr>
          <w:p w:rsidR="00E520C9" w:rsidRDefault="00E520C9" w:rsidP="007B30F0">
            <w:r>
              <w:rPr>
                <w:sz w:val="23"/>
                <w:szCs w:val="23"/>
              </w:rPr>
              <w:t xml:space="preserve"> </w:t>
            </w:r>
          </w:p>
        </w:tc>
      </w:tr>
    </w:tbl>
    <w:p w:rsidR="00E520C9" w:rsidRDefault="00E520C9" w:rsidP="00E520C9">
      <w:r w:rsidRPr="00B818F0">
        <w:t>Une tendance récente voit la diminution de certaines</w:t>
      </w:r>
      <w:r>
        <w:t xml:space="preserve"> </w:t>
      </w:r>
      <w:r w:rsidRPr="00B818F0">
        <w:t xml:space="preserve"> grandes surfaces au profit de magasins de proximité</w:t>
      </w:r>
      <w:r>
        <w:t>, mais les achats sont effectués par la « maison-mère ».</w:t>
      </w:r>
    </w:p>
    <w:p w:rsidR="00E520C9" w:rsidRDefault="00E520C9" w:rsidP="00E520C9"/>
    <w:p w:rsidR="00E520C9" w:rsidRDefault="00E520C9" w:rsidP="00E520C9"/>
    <w:p w:rsidR="00E520C9" w:rsidRDefault="00E520C9" w:rsidP="00E520C9">
      <w:pPr>
        <w:rPr>
          <w:b/>
          <w:sz w:val="36"/>
          <w:szCs w:val="36"/>
          <w:u w:val="single"/>
        </w:rPr>
      </w:pPr>
      <w:r w:rsidRPr="00B818F0">
        <w:rPr>
          <w:b/>
          <w:sz w:val="36"/>
          <w:szCs w:val="36"/>
          <w:u w:val="single"/>
        </w:rPr>
        <w:t>Actualité</w:t>
      </w:r>
    </w:p>
    <w:p w:rsidR="00E520C9" w:rsidRPr="00590DDA" w:rsidRDefault="00E520C9" w:rsidP="00E520C9">
      <w:pPr>
        <w:shd w:val="clear" w:color="auto" w:fill="FDFDFD"/>
        <w:spacing w:before="150" w:after="150" w:line="240" w:lineRule="auto"/>
        <w:outlineLvl w:val="0"/>
        <w:rPr>
          <w:rFonts w:asciiTheme="minorHAnsi" w:eastAsia="Times New Roman" w:hAnsiTheme="minorHAnsi" w:cs="Arial"/>
          <w:b/>
          <w:bCs/>
          <w:caps/>
          <w:kern w:val="36"/>
          <w:lang w:eastAsia="fr-BE"/>
        </w:rPr>
      </w:pPr>
      <w:r w:rsidRPr="00590DDA">
        <w:rPr>
          <w:rFonts w:asciiTheme="minorHAnsi" w:eastAsia="Times New Roman" w:hAnsiTheme="minorHAnsi" w:cs="Arial"/>
          <w:b/>
          <w:bCs/>
          <w:caps/>
          <w:kern w:val="36"/>
          <w:lang w:eastAsia="fr-BE"/>
        </w:rPr>
        <w:t>LA TCHÉQUIE N’A JAMAIS AUTANT IMPORTÉ DE VIANDE</w:t>
      </w:r>
    </w:p>
    <w:p w:rsidR="00E520C9" w:rsidRDefault="00E520C9" w:rsidP="00590DDA">
      <w:pPr>
        <w:shd w:val="clear" w:color="auto" w:fill="FDFDFD"/>
        <w:spacing w:after="0" w:line="240" w:lineRule="auto"/>
        <w:jc w:val="both"/>
        <w:rPr>
          <w:rFonts w:asciiTheme="minorHAnsi" w:eastAsia="Times New Roman" w:hAnsiTheme="minorHAnsi" w:cs="Arial"/>
          <w:bCs/>
          <w:color w:val="000000"/>
          <w:lang w:eastAsia="fr-BE"/>
        </w:rPr>
      </w:pPr>
      <w:r w:rsidRPr="00675297">
        <w:rPr>
          <w:rFonts w:asciiTheme="minorHAnsi" w:eastAsia="Times New Roman" w:hAnsiTheme="minorHAnsi" w:cs="Arial"/>
          <w:bCs/>
          <w:color w:val="000000"/>
          <w:lang w:eastAsia="fr-BE"/>
        </w:rPr>
        <w:t>La République tchèque a importé pour 28 milliards de couronnes (CZK) de viande en 2017, plus d’un milliard d’euros (1€ =</w:t>
      </w:r>
      <w:r w:rsidR="00590DDA">
        <w:rPr>
          <w:rFonts w:asciiTheme="minorHAnsi" w:eastAsia="Times New Roman" w:hAnsiTheme="minorHAnsi" w:cs="Arial"/>
          <w:bCs/>
          <w:color w:val="000000"/>
          <w:lang w:eastAsia="fr-BE"/>
        </w:rPr>
        <w:t xml:space="preserve"> </w:t>
      </w:r>
      <w:r w:rsidRPr="00675297">
        <w:rPr>
          <w:rFonts w:asciiTheme="minorHAnsi" w:eastAsia="Times New Roman" w:hAnsiTheme="minorHAnsi" w:cs="Arial"/>
          <w:bCs/>
          <w:color w:val="000000"/>
          <w:lang w:eastAsia="fr-BE"/>
        </w:rPr>
        <w:t>+/- 25 CZK). C’est un chiffre record et quatre fois supérieurs au volume des importations en 2004, année de l’adhésion du pays à l’Union européenne.</w:t>
      </w:r>
    </w:p>
    <w:p w:rsidR="00590DDA" w:rsidRPr="00675297" w:rsidRDefault="00590DDA" w:rsidP="00590DDA">
      <w:pPr>
        <w:shd w:val="clear" w:color="auto" w:fill="FDFDFD"/>
        <w:spacing w:after="0" w:line="240" w:lineRule="auto"/>
        <w:jc w:val="both"/>
        <w:rPr>
          <w:rFonts w:asciiTheme="minorHAnsi" w:eastAsia="Times New Roman" w:hAnsiTheme="minorHAnsi" w:cs="Arial"/>
          <w:bCs/>
          <w:color w:val="000000"/>
          <w:lang w:eastAsia="fr-BE"/>
        </w:rPr>
      </w:pPr>
    </w:p>
    <w:p w:rsidR="00E520C9" w:rsidRPr="00675297" w:rsidRDefault="00E520C9" w:rsidP="00675297">
      <w:pPr>
        <w:shd w:val="clear" w:color="auto" w:fill="FDFDFD"/>
        <w:spacing w:after="0" w:line="240" w:lineRule="auto"/>
        <w:jc w:val="both"/>
        <w:rPr>
          <w:rFonts w:asciiTheme="minorHAnsi" w:eastAsia="Times New Roman" w:hAnsiTheme="minorHAnsi" w:cs="Arial"/>
          <w:color w:val="000000"/>
          <w:lang w:eastAsia="fr-BE"/>
        </w:rPr>
      </w:pPr>
      <w:r w:rsidRPr="00675297">
        <w:rPr>
          <w:rFonts w:asciiTheme="minorHAnsi" w:eastAsia="Times New Roman" w:hAnsiTheme="minorHAnsi" w:cs="Arial"/>
          <w:color w:val="000000"/>
          <w:lang w:eastAsia="fr-BE"/>
        </w:rPr>
        <w:t>Les données ont été communiquées par l’Union agraire, qui s’appuie sur une publication de l’Office tchèque des statistiques (ČSÚ). Selon elle, ces chiffres seraient plutôt inquiétants. Ils témoigneraient de la capacité limitée de la production tchèque et du manque de professionnels en République tchèque. Le pays est donc contraint d’importer de la viande de porc notamment depuis la Pologne et l’Allemagne. En conséquence, la balance commerciale tchèque pour les produits alimentaires n’a jamais été aussi déficitaire depuis l’année 2011.</w:t>
      </w:r>
    </w:p>
    <w:p w:rsidR="00E520C9" w:rsidRPr="00675297" w:rsidRDefault="00E520C9" w:rsidP="00675297">
      <w:pPr>
        <w:shd w:val="clear" w:color="auto" w:fill="FDFDFD"/>
        <w:spacing w:after="150" w:line="240" w:lineRule="auto"/>
        <w:jc w:val="both"/>
        <w:rPr>
          <w:rFonts w:asciiTheme="minorHAnsi" w:eastAsia="Times New Roman" w:hAnsiTheme="minorHAnsi" w:cs="Arial"/>
          <w:color w:val="000000"/>
          <w:lang w:eastAsia="fr-BE"/>
        </w:rPr>
      </w:pPr>
    </w:p>
    <w:p w:rsidR="00E520C9" w:rsidRPr="00675297" w:rsidRDefault="00E520C9" w:rsidP="00590DDA">
      <w:pPr>
        <w:shd w:val="clear" w:color="auto" w:fill="FDFDFD"/>
        <w:spacing w:after="0" w:line="240" w:lineRule="auto"/>
        <w:jc w:val="both"/>
        <w:rPr>
          <w:rFonts w:asciiTheme="minorHAnsi" w:eastAsia="Times New Roman" w:hAnsiTheme="minorHAnsi" w:cs="Arial"/>
          <w:color w:val="000000"/>
          <w:lang w:eastAsia="fr-BE"/>
        </w:rPr>
      </w:pPr>
      <w:r w:rsidRPr="00675297">
        <w:rPr>
          <w:rFonts w:asciiTheme="minorHAnsi" w:eastAsia="Times New Roman" w:hAnsiTheme="minorHAnsi" w:cs="Arial"/>
          <w:color w:val="000000"/>
          <w:lang w:eastAsia="fr-BE"/>
        </w:rPr>
        <w:t>En 2017, le volume des importations a augmenté de 2,8 milliards de couronnes. Dans le même temps, les exportations baissaient de 4,9 milliards de couronnes. Le résultat, c’est que le déficit commercial atteint désormais près de 31 milliards de couronnes. </w:t>
      </w:r>
    </w:p>
    <w:p w:rsidR="00E520C9" w:rsidRPr="00675297" w:rsidRDefault="00E520C9" w:rsidP="00675297">
      <w:pPr>
        <w:shd w:val="clear" w:color="auto" w:fill="FDFDFD"/>
        <w:spacing w:after="150" w:line="240" w:lineRule="auto"/>
        <w:jc w:val="both"/>
        <w:rPr>
          <w:rFonts w:asciiTheme="minorHAnsi" w:eastAsia="Times New Roman" w:hAnsiTheme="minorHAnsi" w:cs="Arial"/>
          <w:lang w:eastAsia="fr-BE"/>
        </w:rPr>
      </w:pPr>
    </w:p>
    <w:p w:rsidR="00E520C9" w:rsidRPr="00675297" w:rsidRDefault="00E520C9" w:rsidP="00590DDA">
      <w:pPr>
        <w:spacing w:after="0"/>
        <w:jc w:val="both"/>
        <w:rPr>
          <w:rFonts w:asciiTheme="minorHAnsi" w:hAnsiTheme="minorHAnsi" w:cs="Arial"/>
          <w:shd w:val="clear" w:color="auto" w:fill="FFFFFF"/>
        </w:rPr>
      </w:pPr>
      <w:r w:rsidRPr="00675297">
        <w:rPr>
          <w:rFonts w:asciiTheme="minorHAnsi" w:hAnsiTheme="minorHAnsi" w:cs="Arial"/>
          <w:shd w:val="clear" w:color="auto" w:fill="FFFFFF"/>
        </w:rPr>
        <w:t>D’année en année, la balance commerciale en viande négative s’est détério</w:t>
      </w:r>
      <w:r w:rsidR="00590DDA">
        <w:rPr>
          <w:rFonts w:asciiTheme="minorHAnsi" w:hAnsiTheme="minorHAnsi" w:cs="Arial"/>
          <w:shd w:val="clear" w:color="auto" w:fill="FFFFFF"/>
        </w:rPr>
        <w:t>rée en atteignant 2 Mds CZK (79 </w:t>
      </w:r>
      <w:r w:rsidRPr="00675297">
        <w:rPr>
          <w:rFonts w:asciiTheme="minorHAnsi" w:hAnsiTheme="minorHAnsi" w:cs="Arial"/>
          <w:shd w:val="clear" w:color="auto" w:fill="FFFFFF"/>
        </w:rPr>
        <w:t>M EUR). Cette augmentation des importations agricoles a provoqué la baisse de la production agricole locale, en particulier de l’élevage de bétail.</w:t>
      </w:r>
    </w:p>
    <w:p w:rsidR="00675297" w:rsidRDefault="00E520C9" w:rsidP="00590DDA">
      <w:pPr>
        <w:spacing w:after="0"/>
        <w:jc w:val="both"/>
        <w:rPr>
          <w:rFonts w:asciiTheme="minorHAnsi" w:hAnsiTheme="minorHAnsi" w:cs="Arial"/>
          <w:shd w:val="clear" w:color="auto" w:fill="FFFFFF"/>
        </w:rPr>
      </w:pPr>
      <w:r w:rsidRPr="00675297">
        <w:rPr>
          <w:rFonts w:asciiTheme="minorHAnsi" w:hAnsiTheme="minorHAnsi" w:cs="Arial"/>
        </w:rPr>
        <w:br/>
      </w:r>
      <w:r w:rsidRPr="00675297">
        <w:rPr>
          <w:rFonts w:asciiTheme="minorHAnsi" w:hAnsiTheme="minorHAnsi" w:cs="Arial"/>
          <w:shd w:val="clear" w:color="auto" w:fill="FFFFFF"/>
        </w:rPr>
        <w:t>D’après l’Office Tchèque des Statistiques (CZSO), la production de viande de volaille a été le seul segment à enregistrer une croissance (+1,5</w:t>
      </w:r>
      <w:r w:rsidR="00675297">
        <w:rPr>
          <w:rFonts w:asciiTheme="minorHAnsi" w:hAnsiTheme="minorHAnsi" w:cs="Arial"/>
          <w:shd w:val="clear" w:color="auto" w:fill="FFFFFF"/>
        </w:rPr>
        <w:t> </w:t>
      </w:r>
      <w:r w:rsidRPr="00675297">
        <w:rPr>
          <w:rFonts w:asciiTheme="minorHAnsi" w:hAnsiTheme="minorHAnsi" w:cs="Arial"/>
          <w:shd w:val="clear" w:color="auto" w:fill="FFFFFF"/>
        </w:rPr>
        <w:t>% entre 2016 et 2017). Les producteurs tchèques de viande de volaille en ont exporté 116 785 tonnes, soit une baisse de 2,3</w:t>
      </w:r>
      <w:r w:rsidR="00590DDA">
        <w:rPr>
          <w:rFonts w:asciiTheme="minorHAnsi" w:hAnsiTheme="minorHAnsi" w:cs="Arial"/>
          <w:shd w:val="clear" w:color="auto" w:fill="FFFFFF"/>
        </w:rPr>
        <w:t> </w:t>
      </w:r>
      <w:r w:rsidRPr="00675297">
        <w:rPr>
          <w:rFonts w:asciiTheme="minorHAnsi" w:hAnsiTheme="minorHAnsi" w:cs="Arial"/>
          <w:shd w:val="clear" w:color="auto" w:fill="FFFFFF"/>
        </w:rPr>
        <w:t>% par rapport à 2016 et l</w:t>
      </w:r>
      <w:r w:rsidR="00675297">
        <w:rPr>
          <w:rFonts w:asciiTheme="minorHAnsi" w:hAnsiTheme="minorHAnsi" w:cs="Arial"/>
          <w:shd w:val="clear" w:color="auto" w:fill="FFFFFF"/>
        </w:rPr>
        <w:t>es importations ont totalisé 34 </w:t>
      </w:r>
      <w:r w:rsidRPr="00675297">
        <w:rPr>
          <w:rFonts w:asciiTheme="minorHAnsi" w:hAnsiTheme="minorHAnsi" w:cs="Arial"/>
          <w:shd w:val="clear" w:color="auto" w:fill="FFFFFF"/>
        </w:rPr>
        <w:t>372 tonnes en recul de 7,2</w:t>
      </w:r>
      <w:r w:rsidR="00675297">
        <w:rPr>
          <w:rFonts w:asciiTheme="minorHAnsi" w:hAnsiTheme="minorHAnsi" w:cs="Arial"/>
          <w:shd w:val="clear" w:color="auto" w:fill="FFFFFF"/>
        </w:rPr>
        <w:t> </w:t>
      </w:r>
      <w:r w:rsidRPr="00675297">
        <w:rPr>
          <w:rFonts w:asciiTheme="minorHAnsi" w:hAnsiTheme="minorHAnsi" w:cs="Arial"/>
          <w:shd w:val="clear" w:color="auto" w:fill="FFFFFF"/>
        </w:rPr>
        <w:t>%</w:t>
      </w:r>
      <w:r w:rsidR="00590DDA">
        <w:rPr>
          <w:rFonts w:asciiTheme="minorHAnsi" w:hAnsiTheme="minorHAnsi" w:cs="Arial"/>
          <w:shd w:val="clear" w:color="auto" w:fill="FFFFFF"/>
        </w:rPr>
        <w:t>.</w:t>
      </w:r>
    </w:p>
    <w:p w:rsidR="00E520C9" w:rsidRPr="00675297" w:rsidRDefault="00E520C9" w:rsidP="00590DDA">
      <w:pPr>
        <w:spacing w:after="0"/>
        <w:jc w:val="both"/>
        <w:rPr>
          <w:rFonts w:asciiTheme="minorHAnsi" w:hAnsiTheme="minorHAnsi" w:cs="Arial"/>
          <w:shd w:val="clear" w:color="auto" w:fill="FFFFFF"/>
        </w:rPr>
      </w:pPr>
      <w:r w:rsidRPr="00675297">
        <w:rPr>
          <w:rFonts w:asciiTheme="minorHAnsi" w:hAnsiTheme="minorHAnsi" w:cs="Arial"/>
        </w:rPr>
        <w:br/>
      </w:r>
      <w:r w:rsidRPr="00675297">
        <w:rPr>
          <w:rFonts w:asciiTheme="minorHAnsi" w:hAnsiTheme="minorHAnsi" w:cs="Arial"/>
          <w:shd w:val="clear" w:color="auto" w:fill="FFFFFF"/>
        </w:rPr>
        <w:t>En 2017, la production de viande de porc a reculé de 4,2</w:t>
      </w:r>
      <w:r w:rsidR="00675297">
        <w:rPr>
          <w:rFonts w:asciiTheme="minorHAnsi" w:hAnsiTheme="minorHAnsi" w:cs="Arial"/>
          <w:shd w:val="clear" w:color="auto" w:fill="FFFFFF"/>
        </w:rPr>
        <w:t> </w:t>
      </w:r>
      <w:r w:rsidRPr="00675297">
        <w:rPr>
          <w:rFonts w:asciiTheme="minorHAnsi" w:hAnsiTheme="minorHAnsi" w:cs="Arial"/>
          <w:shd w:val="clear" w:color="auto" w:fill="FFFFFF"/>
        </w:rPr>
        <w:t>% avec 211 011 tonnes. Les importations de porc ont dépassé de manière significative la production domestique, avec 263 787 tonnes en 2017, soit une augmentation de 1,5</w:t>
      </w:r>
      <w:r w:rsidR="00675297">
        <w:rPr>
          <w:rFonts w:asciiTheme="minorHAnsi" w:hAnsiTheme="minorHAnsi" w:cs="Arial"/>
          <w:shd w:val="clear" w:color="auto" w:fill="FFFFFF"/>
        </w:rPr>
        <w:t> </w:t>
      </w:r>
      <w:r w:rsidRPr="00675297">
        <w:rPr>
          <w:rFonts w:asciiTheme="minorHAnsi" w:hAnsiTheme="minorHAnsi" w:cs="Arial"/>
          <w:shd w:val="clear" w:color="auto" w:fill="FFFFFF"/>
        </w:rPr>
        <w:t>% entre 2016 et 2017, alors que les exportations ont baissé de 3,1</w:t>
      </w:r>
      <w:r w:rsidR="00675297">
        <w:rPr>
          <w:rFonts w:asciiTheme="minorHAnsi" w:hAnsiTheme="minorHAnsi" w:cs="Arial"/>
          <w:shd w:val="clear" w:color="auto" w:fill="FFFFFF"/>
        </w:rPr>
        <w:t> % avec 35 598 </w:t>
      </w:r>
      <w:r w:rsidRPr="00675297">
        <w:rPr>
          <w:rFonts w:asciiTheme="minorHAnsi" w:hAnsiTheme="minorHAnsi" w:cs="Arial"/>
          <w:shd w:val="clear" w:color="auto" w:fill="FFFFFF"/>
        </w:rPr>
        <w:t>tonnes. </w:t>
      </w:r>
    </w:p>
    <w:p w:rsidR="00E520C9" w:rsidRDefault="00E520C9" w:rsidP="00675297">
      <w:pPr>
        <w:jc w:val="both"/>
        <w:rPr>
          <w:rFonts w:asciiTheme="minorHAnsi" w:hAnsiTheme="minorHAnsi" w:cs="Arial"/>
          <w:shd w:val="clear" w:color="auto" w:fill="FFFFFF"/>
        </w:rPr>
      </w:pPr>
      <w:r w:rsidRPr="00675297">
        <w:rPr>
          <w:rFonts w:asciiTheme="minorHAnsi" w:hAnsiTheme="minorHAnsi" w:cs="Arial"/>
        </w:rPr>
        <w:br/>
      </w:r>
      <w:r w:rsidRPr="00675297">
        <w:rPr>
          <w:rFonts w:asciiTheme="minorHAnsi" w:hAnsiTheme="minorHAnsi" w:cs="Arial"/>
          <w:shd w:val="clear" w:color="auto" w:fill="FFFFFF"/>
        </w:rPr>
        <w:t>La production de viande bovine a totalisé 67 714 tonnes en 2017, en baisse de 5,9</w:t>
      </w:r>
      <w:r w:rsidR="00675297">
        <w:rPr>
          <w:rFonts w:asciiTheme="minorHAnsi" w:hAnsiTheme="minorHAnsi" w:cs="Arial"/>
          <w:shd w:val="clear" w:color="auto" w:fill="FFFFFF"/>
        </w:rPr>
        <w:t> </w:t>
      </w:r>
      <w:r w:rsidRPr="00675297">
        <w:rPr>
          <w:rFonts w:asciiTheme="minorHAnsi" w:hAnsiTheme="minorHAnsi" w:cs="Arial"/>
          <w:shd w:val="clear" w:color="auto" w:fill="FFFFFF"/>
        </w:rPr>
        <w:t>%. 37 283 tonnes de bœuf ont été importées (+19,8</w:t>
      </w:r>
      <w:r w:rsidR="00675297">
        <w:rPr>
          <w:rFonts w:asciiTheme="minorHAnsi" w:hAnsiTheme="minorHAnsi" w:cs="Arial"/>
          <w:shd w:val="clear" w:color="auto" w:fill="FFFFFF"/>
        </w:rPr>
        <w:t> </w:t>
      </w:r>
      <w:r w:rsidRPr="00675297">
        <w:rPr>
          <w:rFonts w:asciiTheme="minorHAnsi" w:hAnsiTheme="minorHAnsi" w:cs="Arial"/>
          <w:shd w:val="clear" w:color="auto" w:fill="FFFFFF"/>
        </w:rPr>
        <w:t>%), en provenance de Pologne, des Pays-Bas et d’Allemagne principalement. Les exportations se sont, quant à elles, élevées à 10 322 tonnes soit en légère baisse (0,1</w:t>
      </w:r>
      <w:r w:rsidR="00675297">
        <w:rPr>
          <w:rFonts w:asciiTheme="minorHAnsi" w:hAnsiTheme="minorHAnsi" w:cs="Arial"/>
          <w:shd w:val="clear" w:color="auto" w:fill="FFFFFF"/>
        </w:rPr>
        <w:t> </w:t>
      </w:r>
      <w:r w:rsidRPr="00675297">
        <w:rPr>
          <w:rFonts w:asciiTheme="minorHAnsi" w:hAnsiTheme="minorHAnsi" w:cs="Arial"/>
          <w:shd w:val="clear" w:color="auto" w:fill="FFFFFF"/>
        </w:rPr>
        <w:t>%) par rapport à l’année 2016.</w:t>
      </w:r>
    </w:p>
    <w:p w:rsidR="00590DDA" w:rsidRPr="00590DDA" w:rsidRDefault="00590DDA" w:rsidP="00590DDA">
      <w:pPr>
        <w:spacing w:line="240" w:lineRule="auto"/>
        <w:jc w:val="both"/>
        <w:rPr>
          <w:rStyle w:val="Lienhypertexte"/>
          <w:rFonts w:asciiTheme="minorHAnsi" w:hAnsiTheme="minorHAnsi" w:cstheme="minorHAnsi"/>
          <w:color w:val="1F497D" w:themeColor="text2"/>
          <w:u w:val="none"/>
        </w:rPr>
      </w:pPr>
      <w:r w:rsidRPr="00590DDA">
        <w:rPr>
          <w:rStyle w:val="Lienhypertexte"/>
          <w:rFonts w:asciiTheme="minorHAnsi" w:hAnsiTheme="minorHAnsi" w:cstheme="minorHAnsi"/>
          <w:color w:val="1F497D" w:themeColor="text2"/>
          <w:u w:val="none"/>
        </w:rPr>
        <w:t>Fiche rédigée par : Eric Schmitz, Conseiller économique et commercial en poste à Prague</w:t>
      </w:r>
    </w:p>
    <w:p w:rsidR="00590DDA" w:rsidRPr="00590DDA" w:rsidRDefault="00590DDA" w:rsidP="00590DDA">
      <w:pPr>
        <w:spacing w:line="240" w:lineRule="auto"/>
        <w:jc w:val="both"/>
        <w:rPr>
          <w:rStyle w:val="Lienhypertexte"/>
          <w:rFonts w:asciiTheme="minorHAnsi" w:hAnsiTheme="minorHAnsi" w:cstheme="minorHAnsi"/>
          <w:color w:val="1F497D" w:themeColor="text2"/>
          <w:u w:val="none"/>
        </w:rPr>
      </w:pPr>
      <w:r w:rsidRPr="00590DDA">
        <w:rPr>
          <w:rStyle w:val="Lienhypertexte"/>
          <w:rFonts w:asciiTheme="minorHAnsi" w:hAnsiTheme="minorHAnsi" w:cstheme="minorHAnsi"/>
          <w:color w:val="1F497D" w:themeColor="text2"/>
          <w:u w:val="none"/>
        </w:rPr>
        <w:t xml:space="preserve">Date : 20/02/2019 </w:t>
      </w:r>
    </w:p>
    <w:p w:rsidR="001F0EB9" w:rsidRPr="00E520C9" w:rsidRDefault="001F0EB9" w:rsidP="00E520C9">
      <w:pPr>
        <w:rPr>
          <w:rStyle w:val="Lienhypertexte"/>
          <w:color w:val="auto"/>
          <w:u w:val="none"/>
        </w:rPr>
      </w:pPr>
    </w:p>
    <w:sectPr w:rsidR="001F0EB9" w:rsidRPr="00E520C9" w:rsidSect="00BA47F6">
      <w:headerReference w:type="default" r:id="rId12"/>
      <w:footerReference w:type="default" r:id="rId13"/>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76" w:rsidRDefault="00A56176" w:rsidP="0065506D">
      <w:pPr>
        <w:spacing w:after="0" w:line="240" w:lineRule="auto"/>
      </w:pPr>
      <w:r>
        <w:separator/>
      </w:r>
    </w:p>
  </w:endnote>
  <w:endnote w:type="continuationSeparator" w:id="0">
    <w:p w:rsidR="00A56176" w:rsidRDefault="00A56176"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76" w:rsidRDefault="00A56176" w:rsidP="0065506D">
      <w:pPr>
        <w:spacing w:after="0" w:line="240" w:lineRule="auto"/>
      </w:pPr>
      <w:r>
        <w:separator/>
      </w:r>
    </w:p>
  </w:footnote>
  <w:footnote w:type="continuationSeparator" w:id="0">
    <w:p w:rsidR="00A56176" w:rsidRDefault="00A56176"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3E653270" wp14:editId="4B4CD7EA">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eastAsia="fr-BE"/>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5E04150E" wp14:editId="5DA8AD40">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203A"/>
    <w:rsid w:val="00004813"/>
    <w:rsid w:val="000116BD"/>
    <w:rsid w:val="000209CD"/>
    <w:rsid w:val="00043659"/>
    <w:rsid w:val="00045ABA"/>
    <w:rsid w:val="00047BC9"/>
    <w:rsid w:val="00051B44"/>
    <w:rsid w:val="00054B7F"/>
    <w:rsid w:val="000565C9"/>
    <w:rsid w:val="000A40FB"/>
    <w:rsid w:val="000A6594"/>
    <w:rsid w:val="000A6B8D"/>
    <w:rsid w:val="000A78DD"/>
    <w:rsid w:val="000B6B14"/>
    <w:rsid w:val="000C1505"/>
    <w:rsid w:val="000C6F0D"/>
    <w:rsid w:val="000E29B9"/>
    <w:rsid w:val="000E53FD"/>
    <w:rsid w:val="000F0506"/>
    <w:rsid w:val="000F0C22"/>
    <w:rsid w:val="000F1AC4"/>
    <w:rsid w:val="000F767D"/>
    <w:rsid w:val="00104AEF"/>
    <w:rsid w:val="00133FE3"/>
    <w:rsid w:val="0014198C"/>
    <w:rsid w:val="001441BA"/>
    <w:rsid w:val="00156C7E"/>
    <w:rsid w:val="00177A6C"/>
    <w:rsid w:val="00182FB0"/>
    <w:rsid w:val="00185786"/>
    <w:rsid w:val="00191356"/>
    <w:rsid w:val="001A4745"/>
    <w:rsid w:val="001B2359"/>
    <w:rsid w:val="001B524E"/>
    <w:rsid w:val="001C26FB"/>
    <w:rsid w:val="001C6A6F"/>
    <w:rsid w:val="001D22EF"/>
    <w:rsid w:val="001D6487"/>
    <w:rsid w:val="001F0EB9"/>
    <w:rsid w:val="001F2C7D"/>
    <w:rsid w:val="001F3659"/>
    <w:rsid w:val="0020156C"/>
    <w:rsid w:val="002171C0"/>
    <w:rsid w:val="00237206"/>
    <w:rsid w:val="0025474F"/>
    <w:rsid w:val="00261EB0"/>
    <w:rsid w:val="002720C8"/>
    <w:rsid w:val="00276060"/>
    <w:rsid w:val="00286F26"/>
    <w:rsid w:val="00295899"/>
    <w:rsid w:val="002A3D7E"/>
    <w:rsid w:val="002D6F74"/>
    <w:rsid w:val="002F50EB"/>
    <w:rsid w:val="00305661"/>
    <w:rsid w:val="003417FC"/>
    <w:rsid w:val="00341933"/>
    <w:rsid w:val="00343D1D"/>
    <w:rsid w:val="00344CB6"/>
    <w:rsid w:val="00351675"/>
    <w:rsid w:val="003577A8"/>
    <w:rsid w:val="003665CD"/>
    <w:rsid w:val="00367013"/>
    <w:rsid w:val="00372B50"/>
    <w:rsid w:val="003840CA"/>
    <w:rsid w:val="00384B30"/>
    <w:rsid w:val="00385FE9"/>
    <w:rsid w:val="00392910"/>
    <w:rsid w:val="003A30B1"/>
    <w:rsid w:val="003B4438"/>
    <w:rsid w:val="003C4F9E"/>
    <w:rsid w:val="003C72C4"/>
    <w:rsid w:val="003E2C68"/>
    <w:rsid w:val="003E74CE"/>
    <w:rsid w:val="003F5E57"/>
    <w:rsid w:val="003F750D"/>
    <w:rsid w:val="004010F9"/>
    <w:rsid w:val="00403CF9"/>
    <w:rsid w:val="004047D3"/>
    <w:rsid w:val="00405A05"/>
    <w:rsid w:val="00406A72"/>
    <w:rsid w:val="00420962"/>
    <w:rsid w:val="00421386"/>
    <w:rsid w:val="00421414"/>
    <w:rsid w:val="00432940"/>
    <w:rsid w:val="00432E02"/>
    <w:rsid w:val="00440412"/>
    <w:rsid w:val="00442655"/>
    <w:rsid w:val="0046209F"/>
    <w:rsid w:val="00467626"/>
    <w:rsid w:val="00492BF8"/>
    <w:rsid w:val="004A593D"/>
    <w:rsid w:val="004D6856"/>
    <w:rsid w:val="004E097E"/>
    <w:rsid w:val="004E1C50"/>
    <w:rsid w:val="004E5BB0"/>
    <w:rsid w:val="004E72D0"/>
    <w:rsid w:val="004F740F"/>
    <w:rsid w:val="00506864"/>
    <w:rsid w:val="00514E65"/>
    <w:rsid w:val="00521AC7"/>
    <w:rsid w:val="00526BF3"/>
    <w:rsid w:val="005355DC"/>
    <w:rsid w:val="00536136"/>
    <w:rsid w:val="00542E04"/>
    <w:rsid w:val="00543A2F"/>
    <w:rsid w:val="005663AD"/>
    <w:rsid w:val="0056641F"/>
    <w:rsid w:val="00570E8E"/>
    <w:rsid w:val="00586574"/>
    <w:rsid w:val="00590DDA"/>
    <w:rsid w:val="00593107"/>
    <w:rsid w:val="005A7401"/>
    <w:rsid w:val="005B1DCB"/>
    <w:rsid w:val="005B7662"/>
    <w:rsid w:val="005C5621"/>
    <w:rsid w:val="005D0872"/>
    <w:rsid w:val="005D589A"/>
    <w:rsid w:val="005E1F1D"/>
    <w:rsid w:val="005E27CA"/>
    <w:rsid w:val="005E3D3E"/>
    <w:rsid w:val="005F461F"/>
    <w:rsid w:val="00600725"/>
    <w:rsid w:val="00601BEC"/>
    <w:rsid w:val="006150BE"/>
    <w:rsid w:val="0061567D"/>
    <w:rsid w:val="00620B6A"/>
    <w:rsid w:val="00621468"/>
    <w:rsid w:val="00632E84"/>
    <w:rsid w:val="00640329"/>
    <w:rsid w:val="00640D71"/>
    <w:rsid w:val="0065506D"/>
    <w:rsid w:val="00655863"/>
    <w:rsid w:val="00657419"/>
    <w:rsid w:val="006726E8"/>
    <w:rsid w:val="006741EB"/>
    <w:rsid w:val="00675297"/>
    <w:rsid w:val="00682ED6"/>
    <w:rsid w:val="00686C7F"/>
    <w:rsid w:val="006B4D3F"/>
    <w:rsid w:val="006B755D"/>
    <w:rsid w:val="006C07BB"/>
    <w:rsid w:val="006C16B1"/>
    <w:rsid w:val="006E6B79"/>
    <w:rsid w:val="006F211E"/>
    <w:rsid w:val="006F35E8"/>
    <w:rsid w:val="006F475B"/>
    <w:rsid w:val="006F6261"/>
    <w:rsid w:val="007018F3"/>
    <w:rsid w:val="00701C18"/>
    <w:rsid w:val="00723AA5"/>
    <w:rsid w:val="00726E14"/>
    <w:rsid w:val="00727A90"/>
    <w:rsid w:val="00740779"/>
    <w:rsid w:val="007407EC"/>
    <w:rsid w:val="0075019E"/>
    <w:rsid w:val="007505C2"/>
    <w:rsid w:val="00751B43"/>
    <w:rsid w:val="007616F0"/>
    <w:rsid w:val="007668AE"/>
    <w:rsid w:val="00773AF2"/>
    <w:rsid w:val="00782810"/>
    <w:rsid w:val="00782FE0"/>
    <w:rsid w:val="00784D07"/>
    <w:rsid w:val="00787848"/>
    <w:rsid w:val="0079601C"/>
    <w:rsid w:val="007973B6"/>
    <w:rsid w:val="007A282D"/>
    <w:rsid w:val="007A4E72"/>
    <w:rsid w:val="007C336F"/>
    <w:rsid w:val="007E1D7F"/>
    <w:rsid w:val="007E7D77"/>
    <w:rsid w:val="007F2B4B"/>
    <w:rsid w:val="007F5C0B"/>
    <w:rsid w:val="007F6A91"/>
    <w:rsid w:val="00804ECE"/>
    <w:rsid w:val="00806CB7"/>
    <w:rsid w:val="00807427"/>
    <w:rsid w:val="0081063D"/>
    <w:rsid w:val="00817C53"/>
    <w:rsid w:val="00827EEE"/>
    <w:rsid w:val="0083196E"/>
    <w:rsid w:val="00840772"/>
    <w:rsid w:val="00845A86"/>
    <w:rsid w:val="00852E1A"/>
    <w:rsid w:val="00855351"/>
    <w:rsid w:val="0086518D"/>
    <w:rsid w:val="00865514"/>
    <w:rsid w:val="00881D44"/>
    <w:rsid w:val="008831BB"/>
    <w:rsid w:val="0089223D"/>
    <w:rsid w:val="008A68C5"/>
    <w:rsid w:val="008C3E3D"/>
    <w:rsid w:val="008C4841"/>
    <w:rsid w:val="008C5BAE"/>
    <w:rsid w:val="008C6728"/>
    <w:rsid w:val="008E24DE"/>
    <w:rsid w:val="008E6914"/>
    <w:rsid w:val="008E7E0D"/>
    <w:rsid w:val="008F23DF"/>
    <w:rsid w:val="0090509E"/>
    <w:rsid w:val="00916C43"/>
    <w:rsid w:val="00920118"/>
    <w:rsid w:val="00923B0C"/>
    <w:rsid w:val="009424F2"/>
    <w:rsid w:val="00953E76"/>
    <w:rsid w:val="00961A09"/>
    <w:rsid w:val="0096427E"/>
    <w:rsid w:val="00964F9B"/>
    <w:rsid w:val="00976F25"/>
    <w:rsid w:val="009774ED"/>
    <w:rsid w:val="00977FE4"/>
    <w:rsid w:val="0098284C"/>
    <w:rsid w:val="00985634"/>
    <w:rsid w:val="00990124"/>
    <w:rsid w:val="009A7DDB"/>
    <w:rsid w:val="009B26AD"/>
    <w:rsid w:val="009C64BB"/>
    <w:rsid w:val="009D14CD"/>
    <w:rsid w:val="009D3841"/>
    <w:rsid w:val="009E2782"/>
    <w:rsid w:val="009F1891"/>
    <w:rsid w:val="009F23DE"/>
    <w:rsid w:val="009F78D4"/>
    <w:rsid w:val="00A027F7"/>
    <w:rsid w:val="00A07158"/>
    <w:rsid w:val="00A22634"/>
    <w:rsid w:val="00A23CB1"/>
    <w:rsid w:val="00A25DA8"/>
    <w:rsid w:val="00A329FD"/>
    <w:rsid w:val="00A3703C"/>
    <w:rsid w:val="00A465AA"/>
    <w:rsid w:val="00A5160D"/>
    <w:rsid w:val="00A552E4"/>
    <w:rsid w:val="00A56176"/>
    <w:rsid w:val="00A66303"/>
    <w:rsid w:val="00A81461"/>
    <w:rsid w:val="00A83907"/>
    <w:rsid w:val="00A848B4"/>
    <w:rsid w:val="00A92586"/>
    <w:rsid w:val="00AA11A6"/>
    <w:rsid w:val="00AB7ADD"/>
    <w:rsid w:val="00AC1AEE"/>
    <w:rsid w:val="00AC3395"/>
    <w:rsid w:val="00AE0250"/>
    <w:rsid w:val="00AE03E9"/>
    <w:rsid w:val="00AE1925"/>
    <w:rsid w:val="00AE2C36"/>
    <w:rsid w:val="00AF16C9"/>
    <w:rsid w:val="00AF24EE"/>
    <w:rsid w:val="00B00E0A"/>
    <w:rsid w:val="00B071A8"/>
    <w:rsid w:val="00B10A67"/>
    <w:rsid w:val="00B12459"/>
    <w:rsid w:val="00B16E02"/>
    <w:rsid w:val="00B2250A"/>
    <w:rsid w:val="00B2360E"/>
    <w:rsid w:val="00B2452B"/>
    <w:rsid w:val="00B35B28"/>
    <w:rsid w:val="00B43F44"/>
    <w:rsid w:val="00B443E8"/>
    <w:rsid w:val="00B452B7"/>
    <w:rsid w:val="00B47C62"/>
    <w:rsid w:val="00B5156D"/>
    <w:rsid w:val="00B56729"/>
    <w:rsid w:val="00B60764"/>
    <w:rsid w:val="00B720B8"/>
    <w:rsid w:val="00B72814"/>
    <w:rsid w:val="00B76E8B"/>
    <w:rsid w:val="00B90A60"/>
    <w:rsid w:val="00B93D27"/>
    <w:rsid w:val="00B950C1"/>
    <w:rsid w:val="00B96272"/>
    <w:rsid w:val="00BA429E"/>
    <w:rsid w:val="00BA47F6"/>
    <w:rsid w:val="00BB0007"/>
    <w:rsid w:val="00BB14A2"/>
    <w:rsid w:val="00BE0A05"/>
    <w:rsid w:val="00BE1098"/>
    <w:rsid w:val="00BE3E56"/>
    <w:rsid w:val="00BE4091"/>
    <w:rsid w:val="00BF3308"/>
    <w:rsid w:val="00BF3965"/>
    <w:rsid w:val="00C32515"/>
    <w:rsid w:val="00C32DA4"/>
    <w:rsid w:val="00C40547"/>
    <w:rsid w:val="00C40E47"/>
    <w:rsid w:val="00C413C4"/>
    <w:rsid w:val="00C426FC"/>
    <w:rsid w:val="00C50782"/>
    <w:rsid w:val="00C539FA"/>
    <w:rsid w:val="00C55DA7"/>
    <w:rsid w:val="00C633AE"/>
    <w:rsid w:val="00C65950"/>
    <w:rsid w:val="00C70449"/>
    <w:rsid w:val="00C803E3"/>
    <w:rsid w:val="00C85C57"/>
    <w:rsid w:val="00C93EF6"/>
    <w:rsid w:val="00C95E0E"/>
    <w:rsid w:val="00CA29D6"/>
    <w:rsid w:val="00CA489B"/>
    <w:rsid w:val="00CA668C"/>
    <w:rsid w:val="00CB19D9"/>
    <w:rsid w:val="00CC0343"/>
    <w:rsid w:val="00CC5624"/>
    <w:rsid w:val="00CD4886"/>
    <w:rsid w:val="00CD509D"/>
    <w:rsid w:val="00CE0C73"/>
    <w:rsid w:val="00CF1B1F"/>
    <w:rsid w:val="00CF5F79"/>
    <w:rsid w:val="00D00952"/>
    <w:rsid w:val="00D01EA3"/>
    <w:rsid w:val="00D03DA6"/>
    <w:rsid w:val="00D04ED3"/>
    <w:rsid w:val="00D12E16"/>
    <w:rsid w:val="00D30531"/>
    <w:rsid w:val="00D410CF"/>
    <w:rsid w:val="00D460CB"/>
    <w:rsid w:val="00D6009A"/>
    <w:rsid w:val="00D60684"/>
    <w:rsid w:val="00D617AF"/>
    <w:rsid w:val="00D64EC0"/>
    <w:rsid w:val="00D65877"/>
    <w:rsid w:val="00D6688A"/>
    <w:rsid w:val="00D7388B"/>
    <w:rsid w:val="00D8086C"/>
    <w:rsid w:val="00D80E3D"/>
    <w:rsid w:val="00DA1BE7"/>
    <w:rsid w:val="00DB2ECE"/>
    <w:rsid w:val="00DB7287"/>
    <w:rsid w:val="00DC1195"/>
    <w:rsid w:val="00DC3D88"/>
    <w:rsid w:val="00DD2865"/>
    <w:rsid w:val="00DD72A8"/>
    <w:rsid w:val="00DE4AE5"/>
    <w:rsid w:val="00DF21CF"/>
    <w:rsid w:val="00DF7315"/>
    <w:rsid w:val="00E01606"/>
    <w:rsid w:val="00E05959"/>
    <w:rsid w:val="00E05C4C"/>
    <w:rsid w:val="00E10E7C"/>
    <w:rsid w:val="00E2358F"/>
    <w:rsid w:val="00E32E1F"/>
    <w:rsid w:val="00E34254"/>
    <w:rsid w:val="00E4414C"/>
    <w:rsid w:val="00E51FA1"/>
    <w:rsid w:val="00E520C9"/>
    <w:rsid w:val="00E52A97"/>
    <w:rsid w:val="00E60E55"/>
    <w:rsid w:val="00E63542"/>
    <w:rsid w:val="00E6760F"/>
    <w:rsid w:val="00E76810"/>
    <w:rsid w:val="00E861A3"/>
    <w:rsid w:val="00E91A09"/>
    <w:rsid w:val="00E9708A"/>
    <w:rsid w:val="00EA3B44"/>
    <w:rsid w:val="00EC6BF2"/>
    <w:rsid w:val="00ED1D68"/>
    <w:rsid w:val="00ED484B"/>
    <w:rsid w:val="00EF0933"/>
    <w:rsid w:val="00F03176"/>
    <w:rsid w:val="00F06E67"/>
    <w:rsid w:val="00F1080E"/>
    <w:rsid w:val="00F22482"/>
    <w:rsid w:val="00F31534"/>
    <w:rsid w:val="00F34B0C"/>
    <w:rsid w:val="00F44748"/>
    <w:rsid w:val="00F45E1E"/>
    <w:rsid w:val="00F5223A"/>
    <w:rsid w:val="00F53884"/>
    <w:rsid w:val="00F55AED"/>
    <w:rsid w:val="00F9657E"/>
    <w:rsid w:val="00FA1373"/>
    <w:rsid w:val="00FA1465"/>
    <w:rsid w:val="00FB2C3D"/>
    <w:rsid w:val="00FB4639"/>
    <w:rsid w:val="00FC4D51"/>
    <w:rsid w:val="00FC7B18"/>
    <w:rsid w:val="00FE424A"/>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E520C9"/>
    <w:pPr>
      <w:autoSpaceDE w:val="0"/>
      <w:autoSpaceDN w:val="0"/>
      <w:adjustRightInd w:val="0"/>
    </w:pPr>
    <w:rPr>
      <w:rFonts w:ascii="Times New Roman" w:eastAsiaTheme="minorHAnsi" w:hAnsi="Times New Roman"/>
      <w:color w:val="000000"/>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paragraph" w:customStyle="1" w:styleId="Default">
    <w:name w:val="Default"/>
    <w:rsid w:val="00E520C9"/>
    <w:pPr>
      <w:autoSpaceDE w:val="0"/>
      <w:autoSpaceDN w:val="0"/>
      <w:adjustRightInd w:val="0"/>
    </w:pPr>
    <w:rPr>
      <w:rFonts w:ascii="Times New Roman" w:eastAsiaTheme="minorHAnsi" w:hAnsi="Times New Roman"/>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2.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277B6F-9C45-43D7-AAD8-21A4C45D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4977</Characters>
  <Application>Microsoft Office Word</Application>
  <DocSecurity>0</DocSecurity>
  <Lines>41</Lines>
  <Paragraphs>11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Le marché de la santé en (Nom de pays)</vt:lpstr>
      <vt:lpstr>Le marché de la santé en (Nom de pays)</vt:lpstr>
      <vt:lpstr>Le marché de la santé en (Nom de pays)</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2013-09-13T07:22:00Z</cp:lastPrinted>
  <dcterms:created xsi:type="dcterms:W3CDTF">2019-02-25T10:05:00Z</dcterms:created>
  <dcterms:modified xsi:type="dcterms:W3CDTF">2019-02-25T10:05:00Z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